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7DF" w:rsidRPr="00D83A91" w:rsidRDefault="00546FD0" w:rsidP="00D83A91">
      <w:pPr>
        <w:jc w:val="both"/>
        <w:rPr>
          <w:rFonts w:ascii="Arial" w:hAnsi="Arial" w:cs="Arial"/>
          <w:b/>
          <w:sz w:val="32"/>
          <w:szCs w:val="32"/>
        </w:rPr>
      </w:pPr>
      <w:r>
        <w:rPr>
          <w:rFonts w:ascii="Arial" w:hAnsi="Arial" w:cs="Arial"/>
          <w:b/>
          <w:sz w:val="32"/>
          <w:szCs w:val="32"/>
        </w:rPr>
        <w:t>Metodická část</w:t>
      </w:r>
    </w:p>
    <w:p w:rsidR="002923E0" w:rsidRP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b/>
          <w:bCs/>
          <w:color w:val="000000"/>
          <w:sz w:val="20"/>
          <w:szCs w:val="20"/>
          <w:lang w:eastAsia="cs-CZ"/>
        </w:rPr>
        <w:t>Úvod</w:t>
      </w:r>
    </w:p>
    <w:p w:rsid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 xml:space="preserve">Český statistický úřad vydal, sdělením ČSÚ ze dne 18. prosince 2003 s účinností od 1. ledna 2004 (Sbírka zákonů č. 497/2003, částka 160) </w:t>
      </w:r>
      <w:r w:rsidRPr="002923E0">
        <w:rPr>
          <w:rFonts w:ascii="Arial" w:eastAsia="Times New Roman" w:hAnsi="Arial" w:cs="Arial"/>
          <w:b/>
          <w:bCs/>
          <w:color w:val="000000"/>
          <w:sz w:val="20"/>
          <w:szCs w:val="20"/>
          <w:lang w:eastAsia="cs-CZ"/>
        </w:rPr>
        <w:t xml:space="preserve">Klasifikaci služeb neziskových institucí sloužících domácnostem podle účelu - CZ-COPNI </w:t>
      </w:r>
      <w:r w:rsidRPr="002923E0">
        <w:rPr>
          <w:rFonts w:ascii="Arial" w:eastAsia="Times New Roman" w:hAnsi="Arial" w:cs="Arial"/>
          <w:color w:val="000000"/>
          <w:sz w:val="20"/>
          <w:szCs w:val="20"/>
          <w:lang w:eastAsia="cs-CZ"/>
        </w:rPr>
        <w:t xml:space="preserve">(dále jen klasifikace CZ-COPNI), která je určena zejména pro potřeby statistického zjišťování a mezinárodního porovnávání statistických dat. Klasifikace CZ-COPNI je vypracována na podkladě mezinárodní klasifikace COPNI - </w:t>
      </w:r>
      <w:proofErr w:type="spellStart"/>
      <w:r w:rsidRPr="002923E0">
        <w:rPr>
          <w:rFonts w:ascii="Arial" w:eastAsia="Times New Roman" w:hAnsi="Arial" w:cs="Arial"/>
          <w:color w:val="000000"/>
          <w:sz w:val="20"/>
          <w:szCs w:val="20"/>
          <w:lang w:eastAsia="cs-CZ"/>
        </w:rPr>
        <w:t>Classification</w:t>
      </w:r>
      <w:proofErr w:type="spellEnd"/>
      <w:r w:rsidRPr="002923E0">
        <w:rPr>
          <w:rFonts w:ascii="Arial" w:eastAsia="Times New Roman" w:hAnsi="Arial" w:cs="Arial"/>
          <w:color w:val="000000"/>
          <w:sz w:val="20"/>
          <w:szCs w:val="20"/>
          <w:lang w:eastAsia="cs-CZ"/>
        </w:rPr>
        <w:t xml:space="preserve"> </w:t>
      </w:r>
      <w:proofErr w:type="spellStart"/>
      <w:r w:rsidRPr="002923E0">
        <w:rPr>
          <w:rFonts w:ascii="Arial" w:eastAsia="Times New Roman" w:hAnsi="Arial" w:cs="Arial"/>
          <w:color w:val="000000"/>
          <w:sz w:val="20"/>
          <w:szCs w:val="20"/>
          <w:lang w:eastAsia="cs-CZ"/>
        </w:rPr>
        <w:t>of</w:t>
      </w:r>
      <w:proofErr w:type="spellEnd"/>
      <w:r w:rsidRPr="002923E0">
        <w:rPr>
          <w:rFonts w:ascii="Arial" w:eastAsia="Times New Roman" w:hAnsi="Arial" w:cs="Arial"/>
          <w:color w:val="000000"/>
          <w:sz w:val="20"/>
          <w:szCs w:val="20"/>
          <w:lang w:eastAsia="cs-CZ"/>
        </w:rPr>
        <w:t xml:space="preserve"> </w:t>
      </w:r>
      <w:proofErr w:type="spellStart"/>
      <w:r w:rsidRPr="002923E0">
        <w:rPr>
          <w:rFonts w:ascii="Arial" w:eastAsia="Times New Roman" w:hAnsi="Arial" w:cs="Arial"/>
          <w:color w:val="000000"/>
          <w:sz w:val="20"/>
          <w:szCs w:val="20"/>
          <w:lang w:eastAsia="cs-CZ"/>
        </w:rPr>
        <w:t>the</w:t>
      </w:r>
      <w:proofErr w:type="spellEnd"/>
      <w:r w:rsidRPr="002923E0">
        <w:rPr>
          <w:rFonts w:ascii="Arial" w:eastAsia="Times New Roman" w:hAnsi="Arial" w:cs="Arial"/>
          <w:color w:val="000000"/>
          <w:sz w:val="20"/>
          <w:szCs w:val="20"/>
          <w:lang w:eastAsia="cs-CZ"/>
        </w:rPr>
        <w:t xml:space="preserve"> </w:t>
      </w:r>
      <w:proofErr w:type="spellStart"/>
      <w:r w:rsidRPr="002923E0">
        <w:rPr>
          <w:rFonts w:ascii="Arial" w:eastAsia="Times New Roman" w:hAnsi="Arial" w:cs="Arial"/>
          <w:color w:val="000000"/>
          <w:sz w:val="20"/>
          <w:szCs w:val="20"/>
          <w:lang w:eastAsia="cs-CZ"/>
        </w:rPr>
        <w:t>Purposes</w:t>
      </w:r>
      <w:proofErr w:type="spellEnd"/>
      <w:r w:rsidRPr="002923E0">
        <w:rPr>
          <w:rFonts w:ascii="Arial" w:eastAsia="Times New Roman" w:hAnsi="Arial" w:cs="Arial"/>
          <w:color w:val="000000"/>
          <w:sz w:val="20"/>
          <w:szCs w:val="20"/>
          <w:lang w:eastAsia="cs-CZ"/>
        </w:rPr>
        <w:t xml:space="preserve"> </w:t>
      </w:r>
      <w:proofErr w:type="spellStart"/>
      <w:r w:rsidRPr="002923E0">
        <w:rPr>
          <w:rFonts w:ascii="Arial" w:eastAsia="Times New Roman" w:hAnsi="Arial" w:cs="Arial"/>
          <w:color w:val="000000"/>
          <w:sz w:val="20"/>
          <w:szCs w:val="20"/>
          <w:lang w:eastAsia="cs-CZ"/>
        </w:rPr>
        <w:t>of</w:t>
      </w:r>
      <w:proofErr w:type="spellEnd"/>
      <w:r w:rsidRPr="002923E0">
        <w:rPr>
          <w:rFonts w:ascii="Arial" w:eastAsia="Times New Roman" w:hAnsi="Arial" w:cs="Arial"/>
          <w:color w:val="000000"/>
          <w:sz w:val="20"/>
          <w:szCs w:val="20"/>
          <w:lang w:eastAsia="cs-CZ"/>
        </w:rPr>
        <w:t xml:space="preserve"> Non-Profit </w:t>
      </w:r>
      <w:proofErr w:type="spellStart"/>
      <w:r w:rsidRPr="002923E0">
        <w:rPr>
          <w:rFonts w:ascii="Arial" w:eastAsia="Times New Roman" w:hAnsi="Arial" w:cs="Arial"/>
          <w:color w:val="000000"/>
          <w:sz w:val="20"/>
          <w:szCs w:val="20"/>
          <w:lang w:eastAsia="cs-CZ"/>
        </w:rPr>
        <w:t>Institutions</w:t>
      </w:r>
      <w:proofErr w:type="spellEnd"/>
      <w:r w:rsidRPr="002923E0">
        <w:rPr>
          <w:rFonts w:ascii="Arial" w:eastAsia="Times New Roman" w:hAnsi="Arial" w:cs="Arial"/>
          <w:color w:val="000000"/>
          <w:sz w:val="20"/>
          <w:szCs w:val="20"/>
          <w:lang w:eastAsia="cs-CZ"/>
        </w:rPr>
        <w:t xml:space="preserve"> </w:t>
      </w:r>
      <w:proofErr w:type="spellStart"/>
      <w:r w:rsidRPr="002923E0">
        <w:rPr>
          <w:rFonts w:ascii="Arial" w:eastAsia="Times New Roman" w:hAnsi="Arial" w:cs="Arial"/>
          <w:color w:val="000000"/>
          <w:sz w:val="20"/>
          <w:szCs w:val="20"/>
          <w:lang w:eastAsia="cs-CZ"/>
        </w:rPr>
        <w:t>Serving</w:t>
      </w:r>
      <w:proofErr w:type="spellEnd"/>
      <w:r w:rsidRPr="002923E0">
        <w:rPr>
          <w:rFonts w:ascii="Arial" w:eastAsia="Times New Roman" w:hAnsi="Arial" w:cs="Arial"/>
          <w:color w:val="000000"/>
          <w:sz w:val="20"/>
          <w:szCs w:val="20"/>
          <w:lang w:eastAsia="cs-CZ"/>
        </w:rPr>
        <w:t xml:space="preserve"> </w:t>
      </w:r>
      <w:proofErr w:type="spellStart"/>
      <w:r w:rsidRPr="002923E0">
        <w:rPr>
          <w:rFonts w:ascii="Arial" w:eastAsia="Times New Roman" w:hAnsi="Arial" w:cs="Arial"/>
          <w:color w:val="000000"/>
          <w:sz w:val="20"/>
          <w:szCs w:val="20"/>
          <w:lang w:eastAsia="cs-CZ"/>
        </w:rPr>
        <w:t>Households</w:t>
      </w:r>
      <w:proofErr w:type="spellEnd"/>
      <w:r w:rsidRPr="002923E0">
        <w:rPr>
          <w:rFonts w:ascii="Arial" w:eastAsia="Times New Roman" w:hAnsi="Arial" w:cs="Arial"/>
          <w:color w:val="000000"/>
          <w:sz w:val="20"/>
          <w:szCs w:val="20"/>
          <w:lang w:eastAsia="cs-CZ"/>
        </w:rPr>
        <w:t xml:space="preserve"> (CZ znamená národní verzi mezinárodního standardu COPNI). COPNI je jednou ze čtyř funkčních klasifikací (další tři klasifikace jsou COICOP, COFOG a COPP) schválených (jejich aktualizované verze) Statistickou komisí Spojených národů v březnu 1999 a určených pro využití v Systému národních účtů (SNA)</w:t>
      </w:r>
      <w:r w:rsidRPr="002923E0">
        <w:rPr>
          <w:rFonts w:ascii="Arial" w:eastAsia="Times New Roman" w:hAnsi="Arial" w:cs="Arial"/>
          <w:color w:val="000000"/>
          <w:sz w:val="20"/>
          <w:szCs w:val="20"/>
          <w:vertAlign w:val="superscript"/>
          <w:lang w:eastAsia="cs-CZ"/>
        </w:rPr>
        <w:t>1)</w:t>
      </w:r>
      <w:r>
        <w:rPr>
          <w:rFonts w:ascii="Arial" w:eastAsia="Times New Roman" w:hAnsi="Arial" w:cs="Arial"/>
          <w:color w:val="000000"/>
          <w:sz w:val="20"/>
          <w:szCs w:val="20"/>
          <w:lang w:eastAsia="cs-CZ"/>
        </w:rPr>
        <w:t>.</w:t>
      </w:r>
    </w:p>
    <w:p w:rsid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Sdělením Českého statistického úřadu je klasifikace CZ-COPNI aktualizovaná s účinností od 1. září 2006 (Sbírka z</w:t>
      </w:r>
      <w:r>
        <w:rPr>
          <w:rFonts w:ascii="Arial" w:eastAsia="Times New Roman" w:hAnsi="Arial" w:cs="Arial"/>
          <w:color w:val="000000"/>
          <w:sz w:val="20"/>
          <w:szCs w:val="20"/>
          <w:lang w:eastAsia="cs-CZ"/>
        </w:rPr>
        <w:t>ákonů č. 358/2006, částka 111).</w:t>
      </w:r>
    </w:p>
    <w:p w:rsidR="002923E0" w:rsidRP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b/>
          <w:bCs/>
          <w:color w:val="000000"/>
          <w:sz w:val="20"/>
          <w:szCs w:val="20"/>
          <w:lang w:eastAsia="cs-CZ"/>
        </w:rPr>
        <w:t>Předmět klasifikace</w:t>
      </w:r>
      <w:r w:rsidRPr="002923E0">
        <w:rPr>
          <w:rFonts w:ascii="Arial" w:eastAsia="Times New Roman" w:hAnsi="Arial" w:cs="Arial"/>
          <w:color w:val="000000"/>
          <w:sz w:val="20"/>
          <w:szCs w:val="20"/>
          <w:lang w:eastAsia="cs-CZ"/>
        </w:rPr>
        <w:t xml:space="preserve"> </w:t>
      </w:r>
      <w:r w:rsidRPr="002923E0">
        <w:rPr>
          <w:rFonts w:ascii="Arial" w:eastAsia="Times New Roman" w:hAnsi="Arial" w:cs="Arial"/>
          <w:b/>
          <w:bCs/>
          <w:color w:val="000000"/>
          <w:sz w:val="20"/>
          <w:szCs w:val="20"/>
          <w:lang w:eastAsia="cs-CZ"/>
        </w:rPr>
        <w:t>CZ-COPNI</w:t>
      </w:r>
    </w:p>
    <w:p w:rsid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Předmětem klasifikace CZ-COPNI je v zásadě třídění služeb, resp. výdajů neziskových institucí domácnostem podle účelu. Dle zvyklostí jsou všechny spotřební výdaje</w:t>
      </w:r>
      <w:r w:rsidRPr="002923E0">
        <w:rPr>
          <w:rFonts w:ascii="Arial" w:eastAsia="Times New Roman" w:hAnsi="Arial" w:cs="Arial"/>
          <w:i/>
          <w:iCs/>
          <w:color w:val="000000"/>
          <w:sz w:val="20"/>
          <w:szCs w:val="20"/>
          <w:lang w:eastAsia="cs-CZ"/>
        </w:rPr>
        <w:t xml:space="preserve"> </w:t>
      </w:r>
      <w:r w:rsidRPr="002923E0">
        <w:rPr>
          <w:rFonts w:ascii="Arial" w:eastAsia="Times New Roman" w:hAnsi="Arial" w:cs="Arial"/>
          <w:color w:val="000000"/>
          <w:sz w:val="20"/>
          <w:szCs w:val="20"/>
          <w:lang w:eastAsia="cs-CZ"/>
        </w:rPr>
        <w:t>neziskových institucí sloužících domácnostem (dále jen výdaje NISD)</w:t>
      </w:r>
      <w:r w:rsidRPr="002923E0">
        <w:rPr>
          <w:rFonts w:ascii="Arial" w:eastAsia="Times New Roman" w:hAnsi="Arial" w:cs="Arial"/>
          <w:color w:val="000000"/>
          <w:sz w:val="20"/>
          <w:szCs w:val="20"/>
          <w:vertAlign w:val="superscript"/>
          <w:lang w:eastAsia="cs-CZ"/>
        </w:rPr>
        <w:t>2)</w:t>
      </w:r>
      <w:r w:rsidRPr="002923E0">
        <w:rPr>
          <w:rFonts w:ascii="Arial" w:eastAsia="Times New Roman" w:hAnsi="Arial" w:cs="Arial"/>
          <w:color w:val="000000"/>
          <w:sz w:val="20"/>
          <w:szCs w:val="20"/>
          <w:lang w:eastAsia="cs-CZ"/>
        </w:rPr>
        <w:t xml:space="preserve"> v </w:t>
      </w:r>
      <w:proofErr w:type="gramStart"/>
      <w:r w:rsidRPr="002923E0">
        <w:rPr>
          <w:rFonts w:ascii="Arial" w:eastAsia="Times New Roman" w:hAnsi="Arial" w:cs="Arial"/>
          <w:color w:val="000000"/>
          <w:sz w:val="20"/>
          <w:szCs w:val="20"/>
          <w:lang w:eastAsia="cs-CZ"/>
        </w:rPr>
        <w:t>SNA</w:t>
      </w:r>
      <w:proofErr w:type="gramEnd"/>
      <w:r w:rsidRPr="002923E0">
        <w:rPr>
          <w:rFonts w:ascii="Arial" w:eastAsia="Times New Roman" w:hAnsi="Arial" w:cs="Arial"/>
          <w:color w:val="000000"/>
          <w:sz w:val="20"/>
          <w:szCs w:val="20"/>
          <w:lang w:eastAsia="cs-CZ"/>
        </w:rPr>
        <w:t xml:space="preserve"> z roku 1993 pokl</w:t>
      </w:r>
      <w:r>
        <w:rPr>
          <w:rFonts w:ascii="Arial" w:eastAsia="Times New Roman" w:hAnsi="Arial" w:cs="Arial"/>
          <w:color w:val="000000"/>
          <w:sz w:val="20"/>
          <w:szCs w:val="20"/>
          <w:lang w:eastAsia="cs-CZ"/>
        </w:rPr>
        <w:t>ádány za individuální spotřebu.</w:t>
      </w:r>
    </w:p>
    <w:p w:rsid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Hlavním účelem použití klasifikace CZ-COPNI je klasifikovat výdaje NISD shodným způsobem jako jsou identifikovány účely výdajů individuální spotřeby domácnostmi (CZ-COICOP)</w:t>
      </w:r>
      <w:r w:rsidRPr="002923E0">
        <w:rPr>
          <w:rFonts w:ascii="Arial" w:eastAsia="Times New Roman" w:hAnsi="Arial" w:cs="Arial"/>
          <w:color w:val="000000"/>
          <w:sz w:val="20"/>
          <w:szCs w:val="20"/>
          <w:vertAlign w:val="superscript"/>
          <w:lang w:eastAsia="cs-CZ"/>
        </w:rPr>
        <w:t>3)</w:t>
      </w:r>
      <w:r w:rsidRPr="002923E0">
        <w:rPr>
          <w:rFonts w:ascii="Arial" w:eastAsia="Times New Roman" w:hAnsi="Arial" w:cs="Arial"/>
          <w:color w:val="000000"/>
          <w:sz w:val="20"/>
          <w:szCs w:val="20"/>
          <w:lang w:eastAsia="cs-CZ"/>
        </w:rPr>
        <w:t xml:space="preserve"> a vládními institucemi (CZ-COFOG)</w:t>
      </w:r>
      <w:r w:rsidRPr="002923E0">
        <w:rPr>
          <w:rFonts w:ascii="Arial" w:eastAsia="Times New Roman" w:hAnsi="Arial" w:cs="Arial"/>
          <w:color w:val="000000"/>
          <w:sz w:val="20"/>
          <w:szCs w:val="20"/>
          <w:vertAlign w:val="superscript"/>
          <w:lang w:eastAsia="cs-CZ"/>
        </w:rPr>
        <w:t>4)</w:t>
      </w:r>
      <w:r w:rsidRPr="002923E0">
        <w:rPr>
          <w:rFonts w:ascii="Arial" w:eastAsia="Times New Roman" w:hAnsi="Arial" w:cs="Arial"/>
          <w:color w:val="000000"/>
          <w:sz w:val="20"/>
          <w:szCs w:val="20"/>
          <w:lang w:eastAsia="cs-CZ"/>
        </w:rPr>
        <w:t>. Cílem je získat souhrnnou aktuální in</w:t>
      </w:r>
      <w:r>
        <w:rPr>
          <w:rFonts w:ascii="Arial" w:eastAsia="Times New Roman" w:hAnsi="Arial" w:cs="Arial"/>
          <w:color w:val="000000"/>
          <w:sz w:val="20"/>
          <w:szCs w:val="20"/>
          <w:lang w:eastAsia="cs-CZ"/>
        </w:rPr>
        <w:t>dividuální spotřebu domácností.</w:t>
      </w:r>
    </w:p>
    <w:p w:rsidR="002923E0" w:rsidRP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b/>
          <w:bCs/>
          <w:color w:val="000000"/>
          <w:sz w:val="20"/>
          <w:szCs w:val="20"/>
          <w:lang w:eastAsia="cs-CZ"/>
        </w:rPr>
        <w:t>Výdaje, které klasifikace CZ-COPNI</w:t>
      </w:r>
      <w:r w:rsidRPr="002923E0">
        <w:rPr>
          <w:rFonts w:ascii="Arial" w:eastAsia="Times New Roman" w:hAnsi="Arial" w:cs="Arial"/>
          <w:color w:val="000000"/>
          <w:sz w:val="20"/>
          <w:szCs w:val="20"/>
          <w:lang w:eastAsia="cs-CZ"/>
        </w:rPr>
        <w:t xml:space="preserve"> </w:t>
      </w:r>
      <w:r w:rsidRPr="002923E0">
        <w:rPr>
          <w:rFonts w:ascii="Arial" w:eastAsia="Times New Roman" w:hAnsi="Arial" w:cs="Arial"/>
          <w:b/>
          <w:bCs/>
          <w:color w:val="000000"/>
          <w:sz w:val="20"/>
          <w:szCs w:val="20"/>
          <w:lang w:eastAsia="cs-CZ"/>
        </w:rPr>
        <w:t>pokrývá</w:t>
      </w:r>
    </w:p>
    <w:p w:rsidR="002923E0" w:rsidRP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Tabulka 1 uvádí druhy výdajů NISD odpovídající transakcím SNA, které mohou být v principu klasifikovány podle klasifikace CZ-COPNI. Transakcí se rozumí jakýkoliv převod majetku nebo majetkových práv. Mezi neopomenutelné transakce patří kapitálové a běžné transfery, výdaje na konečnou spotřebu a čisté pořízení (přírůstek) finančního majetku. Kód proto musí být přidělen např. ke každé koupi, výplatě mzdy, transferu, vyplacení půjčky a k jiným příjmům a výdajům podle funkce, které daná transakce slouží. Pro možnost určení "výdajů na konečnou (finální) spotřebu" je však nezbytné, aby ke každé výdajové transakci byl</w:t>
      </w:r>
      <w:r>
        <w:rPr>
          <w:rFonts w:ascii="Arial" w:eastAsia="Times New Roman" w:hAnsi="Arial" w:cs="Arial"/>
          <w:color w:val="000000"/>
          <w:sz w:val="20"/>
          <w:szCs w:val="20"/>
          <w:lang w:eastAsia="cs-CZ"/>
        </w:rPr>
        <w:t>y přiřazeny i příslušné příjmy.</w:t>
      </w:r>
    </w:p>
    <w:p w:rsid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Hlavní důraz je kladen na klasifikaci výdajů konečné spotřeby (P3), ze kterých po převedení do klasifikace CZ-COICOP, oddíl 13, je možno získat skutečnou konečnou spotřebu domácností (nebo sk</w:t>
      </w:r>
      <w:r>
        <w:rPr>
          <w:rFonts w:ascii="Arial" w:eastAsia="Times New Roman" w:hAnsi="Arial" w:cs="Arial"/>
          <w:color w:val="000000"/>
          <w:sz w:val="20"/>
          <w:szCs w:val="20"/>
          <w:lang w:eastAsia="cs-CZ"/>
        </w:rPr>
        <w:t>utečnou individuální spotřebu).</w:t>
      </w:r>
    </w:p>
    <w:p w:rsidR="002923E0" w:rsidRDefault="002923E0">
      <w:pPr>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br w:type="page"/>
      </w:r>
    </w:p>
    <w:p w:rsidR="002923E0" w:rsidRPr="002923E0" w:rsidRDefault="002923E0" w:rsidP="002923E0">
      <w:pPr>
        <w:spacing w:after="0" w:line="240" w:lineRule="auto"/>
        <w:jc w:val="both"/>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lastRenderedPageBreak/>
        <w:t>tab. 1</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6058"/>
        <w:gridCol w:w="3134"/>
      </w:tblGrid>
      <w:tr w:rsidR="002923E0" w:rsidRPr="002923E0" w:rsidTr="002923E0">
        <w:trPr>
          <w:tblCellSpacing w:w="15" w:type="dxa"/>
        </w:trPr>
        <w:tc>
          <w:tcPr>
            <w:tcW w:w="6075"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Výdaj</w:t>
            </w:r>
          </w:p>
        </w:tc>
        <w:tc>
          <w:tcPr>
            <w:tcW w:w="312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Transakční kód SNA 1993</w:t>
            </w:r>
          </w:p>
        </w:tc>
      </w:tr>
      <w:tr w:rsidR="002923E0" w:rsidRPr="002923E0" w:rsidTr="002923E0">
        <w:trPr>
          <w:tblCellSpacing w:w="15" w:type="dxa"/>
        </w:trPr>
        <w:tc>
          <w:tcPr>
            <w:tcW w:w="6075"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Výdaje na konečnou (finální) spotřebu, z nich</w:t>
            </w:r>
            <w:r w:rsidRPr="002923E0">
              <w:rPr>
                <w:rFonts w:ascii="Arial" w:eastAsia="Times New Roman" w:hAnsi="Arial" w:cs="Arial"/>
                <w:color w:val="000000"/>
                <w:sz w:val="20"/>
                <w:szCs w:val="20"/>
                <w:vertAlign w:val="superscript"/>
                <w:lang w:eastAsia="cs-CZ"/>
              </w:rPr>
              <w:t>5)</w:t>
            </w:r>
            <w:r w:rsidRPr="002923E0">
              <w:rPr>
                <w:rFonts w:ascii="Arial" w:eastAsia="Times New Roman" w:hAnsi="Arial" w:cs="Arial"/>
                <w:color w:val="000000"/>
                <w:sz w:val="20"/>
                <w:szCs w:val="20"/>
                <w:lang w:eastAsia="cs-CZ"/>
              </w:rPr>
              <w:t xml:space="preserve">: </w:t>
            </w:r>
          </w:p>
          <w:p w:rsidR="002923E0" w:rsidRPr="002923E0" w:rsidRDefault="002923E0" w:rsidP="002923E0">
            <w:pPr>
              <w:numPr>
                <w:ilvl w:val="0"/>
                <w:numId w:val="1"/>
              </w:num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 xml:space="preserve">Výrobní spotřeba </w:t>
            </w:r>
          </w:p>
          <w:p w:rsidR="002923E0" w:rsidRPr="002923E0" w:rsidRDefault="002923E0" w:rsidP="002923E0">
            <w:pPr>
              <w:numPr>
                <w:ilvl w:val="0"/>
                <w:numId w:val="1"/>
              </w:num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 xml:space="preserve">Náhrady zaměstnancům-odměna za práci </w:t>
            </w:r>
          </w:p>
          <w:p w:rsidR="002923E0" w:rsidRPr="002923E0" w:rsidRDefault="002923E0" w:rsidP="002923E0">
            <w:pPr>
              <w:numPr>
                <w:ilvl w:val="0"/>
                <w:numId w:val="1"/>
              </w:num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 xml:space="preserve">Spotřeba fixního kapitálu </w:t>
            </w:r>
          </w:p>
          <w:p w:rsidR="002923E0" w:rsidRPr="002923E0" w:rsidRDefault="002923E0" w:rsidP="002923E0">
            <w:pPr>
              <w:numPr>
                <w:ilvl w:val="0"/>
                <w:numId w:val="1"/>
              </w:num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minus Tržby z prodeje</w:t>
            </w:r>
          </w:p>
        </w:tc>
        <w:tc>
          <w:tcPr>
            <w:tcW w:w="312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 xml:space="preserve">P3 </w:t>
            </w:r>
            <w:r w:rsidRPr="002923E0">
              <w:rPr>
                <w:rFonts w:ascii="Arial" w:eastAsia="Times New Roman" w:hAnsi="Arial" w:cs="Arial"/>
                <w:color w:val="000000"/>
                <w:sz w:val="20"/>
                <w:szCs w:val="20"/>
                <w:lang w:eastAsia="cs-CZ"/>
              </w:rPr>
              <w:br/>
              <w:t xml:space="preserve">P2 </w:t>
            </w:r>
            <w:r w:rsidRPr="002923E0">
              <w:rPr>
                <w:rFonts w:ascii="Arial" w:eastAsia="Times New Roman" w:hAnsi="Arial" w:cs="Arial"/>
                <w:color w:val="000000"/>
                <w:sz w:val="20"/>
                <w:szCs w:val="20"/>
                <w:lang w:eastAsia="cs-CZ"/>
              </w:rPr>
              <w:br/>
              <w:t xml:space="preserve">D1 </w:t>
            </w:r>
            <w:r w:rsidRPr="002923E0">
              <w:rPr>
                <w:rFonts w:ascii="Arial" w:eastAsia="Times New Roman" w:hAnsi="Arial" w:cs="Arial"/>
                <w:color w:val="000000"/>
                <w:sz w:val="20"/>
                <w:szCs w:val="20"/>
                <w:lang w:eastAsia="cs-CZ"/>
              </w:rPr>
              <w:br/>
              <w:t xml:space="preserve">K1 </w:t>
            </w:r>
            <w:r w:rsidRPr="002923E0">
              <w:rPr>
                <w:rFonts w:ascii="Arial" w:eastAsia="Times New Roman" w:hAnsi="Arial" w:cs="Arial"/>
                <w:color w:val="000000"/>
                <w:sz w:val="20"/>
                <w:szCs w:val="20"/>
                <w:lang w:eastAsia="cs-CZ"/>
              </w:rPr>
              <w:br/>
              <w:t>P11</w:t>
            </w:r>
          </w:p>
        </w:tc>
      </w:tr>
      <w:tr w:rsidR="002923E0" w:rsidRPr="002923E0" w:rsidTr="002923E0">
        <w:trPr>
          <w:tblCellSpacing w:w="15" w:type="dxa"/>
        </w:trPr>
        <w:tc>
          <w:tcPr>
            <w:tcW w:w="6075"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Tvorba hrubého kapitálu</w:t>
            </w:r>
          </w:p>
        </w:tc>
        <w:tc>
          <w:tcPr>
            <w:tcW w:w="312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P5</w:t>
            </w:r>
          </w:p>
        </w:tc>
      </w:tr>
      <w:tr w:rsidR="002923E0" w:rsidRPr="002923E0" w:rsidTr="002923E0">
        <w:trPr>
          <w:tblCellSpacing w:w="15" w:type="dxa"/>
        </w:trPr>
        <w:tc>
          <w:tcPr>
            <w:tcW w:w="6075"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Dotace (subvence)</w:t>
            </w:r>
          </w:p>
        </w:tc>
        <w:tc>
          <w:tcPr>
            <w:tcW w:w="312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D3</w:t>
            </w:r>
          </w:p>
        </w:tc>
      </w:tr>
      <w:tr w:rsidR="002923E0" w:rsidRPr="002923E0" w:rsidTr="002923E0">
        <w:trPr>
          <w:tblCellSpacing w:w="15" w:type="dxa"/>
        </w:trPr>
        <w:tc>
          <w:tcPr>
            <w:tcW w:w="6075"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Důchody z vlastnictví</w:t>
            </w:r>
          </w:p>
        </w:tc>
        <w:tc>
          <w:tcPr>
            <w:tcW w:w="312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D4</w:t>
            </w:r>
          </w:p>
        </w:tc>
      </w:tr>
      <w:tr w:rsidR="002923E0" w:rsidRPr="002923E0" w:rsidTr="002923E0">
        <w:trPr>
          <w:tblCellSpacing w:w="15" w:type="dxa"/>
        </w:trPr>
        <w:tc>
          <w:tcPr>
            <w:tcW w:w="6075"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Sociální dávky jiné než sociální transfery v naturáliích</w:t>
            </w:r>
          </w:p>
        </w:tc>
        <w:tc>
          <w:tcPr>
            <w:tcW w:w="312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D62</w:t>
            </w:r>
          </w:p>
        </w:tc>
      </w:tr>
      <w:tr w:rsidR="002923E0" w:rsidRPr="002923E0" w:rsidTr="002923E0">
        <w:trPr>
          <w:tblCellSpacing w:w="15" w:type="dxa"/>
        </w:trPr>
        <w:tc>
          <w:tcPr>
            <w:tcW w:w="6075"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Jiné běžné transfery</w:t>
            </w:r>
          </w:p>
        </w:tc>
        <w:tc>
          <w:tcPr>
            <w:tcW w:w="312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D7</w:t>
            </w:r>
          </w:p>
        </w:tc>
      </w:tr>
      <w:tr w:rsidR="002923E0" w:rsidRPr="002923E0" w:rsidTr="002923E0">
        <w:trPr>
          <w:tblCellSpacing w:w="15" w:type="dxa"/>
        </w:trPr>
        <w:tc>
          <w:tcPr>
            <w:tcW w:w="6075"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Kapitálové transfery</w:t>
            </w:r>
          </w:p>
        </w:tc>
        <w:tc>
          <w:tcPr>
            <w:tcW w:w="312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D9</w:t>
            </w:r>
          </w:p>
        </w:tc>
      </w:tr>
      <w:tr w:rsidR="002923E0" w:rsidRPr="002923E0" w:rsidTr="002923E0">
        <w:trPr>
          <w:tblCellSpacing w:w="15" w:type="dxa"/>
        </w:trPr>
        <w:tc>
          <w:tcPr>
            <w:tcW w:w="6075"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Cenné papíry jiné než akcie</w:t>
            </w:r>
          </w:p>
        </w:tc>
        <w:tc>
          <w:tcPr>
            <w:tcW w:w="312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F3</w:t>
            </w:r>
          </w:p>
        </w:tc>
      </w:tr>
      <w:tr w:rsidR="002923E0" w:rsidRPr="002923E0" w:rsidTr="002923E0">
        <w:trPr>
          <w:tblCellSpacing w:w="15" w:type="dxa"/>
        </w:trPr>
        <w:tc>
          <w:tcPr>
            <w:tcW w:w="6075"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Půjčky, úvěry</w:t>
            </w:r>
          </w:p>
        </w:tc>
        <w:tc>
          <w:tcPr>
            <w:tcW w:w="312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F4</w:t>
            </w:r>
          </w:p>
        </w:tc>
      </w:tr>
      <w:tr w:rsidR="002923E0" w:rsidRPr="002923E0" w:rsidTr="002923E0">
        <w:trPr>
          <w:tblCellSpacing w:w="15" w:type="dxa"/>
        </w:trPr>
        <w:tc>
          <w:tcPr>
            <w:tcW w:w="6075"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Akcie a jiné účasti</w:t>
            </w:r>
          </w:p>
        </w:tc>
        <w:tc>
          <w:tcPr>
            <w:tcW w:w="312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F5</w:t>
            </w:r>
          </w:p>
        </w:tc>
      </w:tr>
    </w:tbl>
    <w:p w:rsidR="002923E0" w:rsidRP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b/>
          <w:bCs/>
          <w:color w:val="000000"/>
          <w:sz w:val="20"/>
          <w:szCs w:val="20"/>
          <w:lang w:eastAsia="cs-CZ"/>
        </w:rPr>
        <w:t>Zásady identifikace funkcí</w:t>
      </w:r>
      <w:r w:rsidRPr="002923E0">
        <w:rPr>
          <w:rFonts w:ascii="Arial" w:eastAsia="Times New Roman" w:hAnsi="Arial" w:cs="Arial"/>
          <w:color w:val="000000"/>
          <w:sz w:val="20"/>
          <w:szCs w:val="20"/>
          <w:lang w:eastAsia="cs-CZ"/>
        </w:rPr>
        <w:t xml:space="preserve"> </w:t>
      </w:r>
      <w:r w:rsidRPr="002923E0">
        <w:rPr>
          <w:rFonts w:ascii="Arial" w:eastAsia="Times New Roman" w:hAnsi="Arial" w:cs="Arial"/>
          <w:b/>
          <w:bCs/>
          <w:color w:val="000000"/>
          <w:sz w:val="20"/>
          <w:szCs w:val="20"/>
          <w:lang w:eastAsia="cs-CZ"/>
        </w:rPr>
        <w:t>klasifikace</w:t>
      </w:r>
      <w:r w:rsidRPr="002923E0">
        <w:rPr>
          <w:rFonts w:ascii="Arial" w:eastAsia="Times New Roman" w:hAnsi="Arial" w:cs="Arial"/>
          <w:color w:val="000000"/>
          <w:sz w:val="20"/>
          <w:szCs w:val="20"/>
          <w:lang w:eastAsia="cs-CZ"/>
        </w:rPr>
        <w:t xml:space="preserve"> </w:t>
      </w:r>
      <w:r w:rsidRPr="002923E0">
        <w:rPr>
          <w:rFonts w:ascii="Arial" w:eastAsia="Times New Roman" w:hAnsi="Arial" w:cs="Arial"/>
          <w:b/>
          <w:bCs/>
          <w:color w:val="000000"/>
          <w:sz w:val="20"/>
          <w:szCs w:val="20"/>
          <w:lang w:eastAsia="cs-CZ"/>
        </w:rPr>
        <w:t>CZ-COPNI</w:t>
      </w:r>
    </w:p>
    <w:p w:rsid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Klasifikace CZ-COPNI v zásadě klasifikuje individuální výdaje neziskových institucí sloužících domácnostem (výdaje NISD) podle účelu, kterému slouží. Většina výdajů NISD má jeden účel a může být nepochybně v klasifikaci CZ-COPNI vymezena jednoznačně. Jestliže je výdaj NISD definovaný v</w:t>
      </w:r>
      <w:r>
        <w:rPr>
          <w:rFonts w:ascii="Arial" w:eastAsia="Times New Roman" w:hAnsi="Arial" w:cs="Arial"/>
          <w:color w:val="000000"/>
          <w:sz w:val="20"/>
          <w:szCs w:val="20"/>
          <w:lang w:eastAsia="cs-CZ"/>
        </w:rPr>
        <w:t> </w:t>
      </w:r>
      <w:r w:rsidRPr="002923E0">
        <w:rPr>
          <w:rFonts w:ascii="Arial" w:eastAsia="Times New Roman" w:hAnsi="Arial" w:cs="Arial"/>
          <w:color w:val="000000"/>
          <w:sz w:val="20"/>
          <w:szCs w:val="20"/>
          <w:lang w:eastAsia="cs-CZ"/>
        </w:rPr>
        <w:t>širším pojetí a splňuje dvě nebo více funkcí (např. u nemocnic, škol zřízených náboženskými organizacemi nebo při organizování náboženských obřadů), je nutno vždy určit samostatnou jednotku pro každou funkci. Nelze-li tuto jednotku určit nebo najít odhad odpovídající jednotlivé funkci, potom výdaj NISD jako celek musí být přiřazen k tomu účelu, který převládá podle zaměs</w:t>
      </w:r>
      <w:r>
        <w:rPr>
          <w:rFonts w:ascii="Arial" w:eastAsia="Times New Roman" w:hAnsi="Arial" w:cs="Arial"/>
          <w:color w:val="000000"/>
          <w:sz w:val="20"/>
          <w:szCs w:val="20"/>
          <w:lang w:eastAsia="cs-CZ"/>
        </w:rPr>
        <w:t>tnanosti nebo celkových výdajů.</w:t>
      </w:r>
    </w:p>
    <w:p w:rsid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Výjimku z výše uvedeného tvoří fondy, nadace a charitativní instituce,</w:t>
      </w:r>
      <w:r>
        <w:rPr>
          <w:rFonts w:ascii="Arial" w:eastAsia="Times New Roman" w:hAnsi="Arial" w:cs="Arial"/>
          <w:color w:val="000000"/>
          <w:sz w:val="20"/>
          <w:szCs w:val="20"/>
          <w:lang w:eastAsia="cs-CZ"/>
        </w:rPr>
        <w:t xml:space="preserve"> které kryjí kapitálem výzkum a v</w:t>
      </w:r>
      <w:r w:rsidRPr="002923E0">
        <w:rPr>
          <w:rFonts w:ascii="Arial" w:eastAsia="Times New Roman" w:hAnsi="Arial" w:cs="Arial"/>
          <w:color w:val="000000"/>
          <w:sz w:val="20"/>
          <w:szCs w:val="20"/>
          <w:lang w:eastAsia="cs-CZ"/>
        </w:rPr>
        <w:t>ědecké studie ve dvou nebo více funkcích. Výdaje na tyto studie mohou být vymezeny odděleně podle příslušné, nik</w:t>
      </w:r>
      <w:r>
        <w:rPr>
          <w:rFonts w:ascii="Arial" w:eastAsia="Times New Roman" w:hAnsi="Arial" w:cs="Arial"/>
          <w:color w:val="000000"/>
          <w:sz w:val="20"/>
          <w:szCs w:val="20"/>
          <w:lang w:eastAsia="cs-CZ"/>
        </w:rPr>
        <w:t>oliv podle převládající funkce.</w:t>
      </w:r>
    </w:p>
    <w:p w:rsidR="002923E0" w:rsidRP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b/>
          <w:bCs/>
          <w:color w:val="000000"/>
          <w:sz w:val="20"/>
          <w:szCs w:val="20"/>
          <w:lang w:eastAsia="cs-CZ"/>
        </w:rPr>
        <w:t>Závaznost a využití klasifikace CZ-COPNI</w:t>
      </w:r>
    </w:p>
    <w:p w:rsid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Klasifikace CZ-COPNI je závazná pro statistická zjišťování prováděná podle zákona č. 89/1995 Sb., o</w:t>
      </w:r>
      <w:r>
        <w:rPr>
          <w:rFonts w:ascii="Arial" w:eastAsia="Times New Roman" w:hAnsi="Arial" w:cs="Arial"/>
          <w:color w:val="000000"/>
          <w:sz w:val="20"/>
          <w:szCs w:val="20"/>
          <w:lang w:eastAsia="cs-CZ"/>
        </w:rPr>
        <w:t> </w:t>
      </w:r>
      <w:r w:rsidRPr="002923E0">
        <w:rPr>
          <w:rFonts w:ascii="Arial" w:eastAsia="Times New Roman" w:hAnsi="Arial" w:cs="Arial"/>
          <w:color w:val="000000"/>
          <w:sz w:val="20"/>
          <w:szCs w:val="20"/>
          <w:lang w:eastAsia="cs-CZ"/>
        </w:rPr>
        <w:t>státní statistické službě, a dále v případech, kde tak stanoví zvláštní zákon, příp</w:t>
      </w:r>
      <w:r>
        <w:rPr>
          <w:rFonts w:ascii="Arial" w:eastAsia="Times New Roman" w:hAnsi="Arial" w:cs="Arial"/>
          <w:color w:val="000000"/>
          <w:sz w:val="20"/>
          <w:szCs w:val="20"/>
          <w:lang w:eastAsia="cs-CZ"/>
        </w:rPr>
        <w:t>adně jiný legislativní předpis.</w:t>
      </w:r>
    </w:p>
    <w:p w:rsid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Klasifikace CZ-COPNI může být také použita k usnadnění mezinárodního srovnání činností NISD. Činnosti neziskových institucí jsou důležitým doplňkem výdajů vládních institucí při poskytování vzdělávacích a zdravotních služeb a služeb souvisejících zvláště s ochranou obyvatelstva. Spotřební výdaje NISD se mohou také stát převažující v netradičních oblastech, jako je ochrana životního prostředí, ochrana lidských práv a obrana menšinových skupin.</w:t>
      </w:r>
    </w:p>
    <w:p w:rsidR="002923E0" w:rsidRP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Klasifikace CZ-COPNI je vhodná rovněž k porovnání výdajů na tradiční funkce a</w:t>
      </w:r>
      <w:r>
        <w:rPr>
          <w:rFonts w:ascii="Arial" w:eastAsia="Times New Roman" w:hAnsi="Arial" w:cs="Arial"/>
          <w:color w:val="000000"/>
          <w:sz w:val="20"/>
          <w:szCs w:val="20"/>
          <w:lang w:eastAsia="cs-CZ"/>
        </w:rPr>
        <w:t xml:space="preserve"> výdajů na nově zavedené účely.</w:t>
      </w:r>
    </w:p>
    <w:p w:rsidR="002923E0" w:rsidRP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 xml:space="preserve">Je možné ji využít i k sestavení satelitního účtu NI, podle metodiky OSN, protože se do klasifikace CZ-COPNI zahrnuly i některé služby NI ze sektoru 11, které slouží stejnému účelu jako NISD ze sektoru 15 (Klasifikace institucionálních sektorů a </w:t>
      </w:r>
      <w:proofErr w:type="spellStart"/>
      <w:r w:rsidRPr="002923E0">
        <w:rPr>
          <w:rFonts w:ascii="Arial" w:eastAsia="Times New Roman" w:hAnsi="Arial" w:cs="Arial"/>
          <w:color w:val="000000"/>
          <w:sz w:val="20"/>
          <w:szCs w:val="20"/>
          <w:lang w:eastAsia="cs-CZ"/>
        </w:rPr>
        <w:t>subsektorů</w:t>
      </w:r>
      <w:proofErr w:type="spellEnd"/>
      <w:r w:rsidRPr="002923E0">
        <w:rPr>
          <w:rFonts w:ascii="Arial" w:eastAsia="Times New Roman" w:hAnsi="Arial" w:cs="Arial"/>
          <w:color w:val="000000"/>
          <w:sz w:val="20"/>
          <w:szCs w:val="20"/>
          <w:lang w:eastAsia="cs-CZ"/>
        </w:rPr>
        <w:t>)</w:t>
      </w:r>
      <w:r w:rsidRPr="002923E0">
        <w:rPr>
          <w:rFonts w:ascii="Arial" w:eastAsia="Times New Roman" w:hAnsi="Arial" w:cs="Arial"/>
          <w:color w:val="000000"/>
          <w:sz w:val="20"/>
          <w:szCs w:val="20"/>
          <w:vertAlign w:val="superscript"/>
          <w:lang w:eastAsia="cs-CZ"/>
        </w:rPr>
        <w:t xml:space="preserve"> 8)</w:t>
      </w:r>
      <w:r>
        <w:rPr>
          <w:rFonts w:ascii="Arial" w:eastAsia="Times New Roman" w:hAnsi="Arial" w:cs="Arial"/>
          <w:color w:val="000000"/>
          <w:sz w:val="20"/>
          <w:szCs w:val="20"/>
          <w:lang w:eastAsia="cs-CZ"/>
        </w:rPr>
        <w:t>.</w:t>
      </w:r>
    </w:p>
    <w:p w:rsidR="002923E0" w:rsidRP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b/>
          <w:bCs/>
          <w:color w:val="000000"/>
          <w:sz w:val="20"/>
          <w:szCs w:val="20"/>
          <w:lang w:eastAsia="cs-CZ"/>
        </w:rPr>
        <w:lastRenderedPageBreak/>
        <w:t>Konstrukce klasifikace</w:t>
      </w:r>
      <w:r w:rsidRPr="002923E0">
        <w:rPr>
          <w:rFonts w:ascii="Arial" w:eastAsia="Times New Roman" w:hAnsi="Arial" w:cs="Arial"/>
          <w:color w:val="000000"/>
          <w:sz w:val="20"/>
          <w:szCs w:val="20"/>
          <w:lang w:eastAsia="cs-CZ"/>
        </w:rPr>
        <w:t xml:space="preserve"> </w:t>
      </w:r>
      <w:r w:rsidRPr="002923E0">
        <w:rPr>
          <w:rFonts w:ascii="Arial" w:eastAsia="Times New Roman" w:hAnsi="Arial" w:cs="Arial"/>
          <w:b/>
          <w:bCs/>
          <w:color w:val="000000"/>
          <w:sz w:val="20"/>
          <w:szCs w:val="20"/>
          <w:lang w:eastAsia="cs-CZ"/>
        </w:rPr>
        <w:t>CZ-COPNI</w:t>
      </w:r>
    </w:p>
    <w:p w:rsid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 xml:space="preserve">Klasifikace </w:t>
      </w:r>
      <w:r w:rsidRPr="002923E0">
        <w:rPr>
          <w:rFonts w:ascii="Arial" w:eastAsia="Times New Roman" w:hAnsi="Arial" w:cs="Arial"/>
          <w:b/>
          <w:bCs/>
          <w:color w:val="000000"/>
          <w:sz w:val="20"/>
          <w:szCs w:val="20"/>
          <w:lang w:eastAsia="cs-CZ"/>
        </w:rPr>
        <w:t xml:space="preserve">CZ-COPNI </w:t>
      </w:r>
      <w:r w:rsidRPr="002923E0">
        <w:rPr>
          <w:rFonts w:ascii="Arial" w:eastAsia="Times New Roman" w:hAnsi="Arial" w:cs="Arial"/>
          <w:color w:val="000000"/>
          <w:sz w:val="20"/>
          <w:szCs w:val="20"/>
          <w:lang w:eastAsia="cs-CZ"/>
        </w:rPr>
        <w:t>je třístupňová a pro jednotlivé stupně je stanoveno toto označení:</w:t>
      </w:r>
    </w:p>
    <w:p w:rsid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 xml:space="preserve">1. stupeň - </w:t>
      </w:r>
      <w:r w:rsidRPr="002923E0">
        <w:rPr>
          <w:rFonts w:ascii="Arial" w:eastAsia="Times New Roman" w:hAnsi="Arial" w:cs="Arial"/>
          <w:b/>
          <w:bCs/>
          <w:color w:val="000000"/>
          <w:sz w:val="20"/>
          <w:szCs w:val="20"/>
          <w:lang w:eastAsia="cs-CZ"/>
        </w:rPr>
        <w:t>oddíl</w:t>
      </w:r>
      <w:r w:rsidRPr="002923E0">
        <w:rPr>
          <w:rFonts w:ascii="Arial" w:eastAsia="Times New Roman" w:hAnsi="Arial" w:cs="Arial"/>
          <w:color w:val="000000"/>
          <w:sz w:val="20"/>
          <w:szCs w:val="20"/>
          <w:lang w:eastAsia="cs-CZ"/>
        </w:rPr>
        <w:t xml:space="preserve"> </w:t>
      </w:r>
      <w:r>
        <w:rPr>
          <w:rFonts w:ascii="Arial" w:eastAsia="Times New Roman" w:hAnsi="Arial" w:cs="Arial"/>
          <w:color w:val="000000"/>
          <w:sz w:val="20"/>
          <w:szCs w:val="20"/>
          <w:lang w:eastAsia="cs-CZ"/>
        </w:rPr>
        <w:t>- je označen dvoumístným kódem.</w:t>
      </w:r>
    </w:p>
    <w:p w:rsid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 xml:space="preserve">2. a 3. stupeň - </w:t>
      </w:r>
      <w:r w:rsidRPr="002923E0">
        <w:rPr>
          <w:rFonts w:ascii="Arial" w:eastAsia="Times New Roman" w:hAnsi="Arial" w:cs="Arial"/>
          <w:b/>
          <w:bCs/>
          <w:color w:val="000000"/>
          <w:sz w:val="20"/>
          <w:szCs w:val="20"/>
          <w:lang w:eastAsia="cs-CZ"/>
        </w:rPr>
        <w:t>skupina</w:t>
      </w:r>
      <w:r w:rsidRPr="002923E0">
        <w:rPr>
          <w:rFonts w:ascii="Arial" w:eastAsia="Times New Roman" w:hAnsi="Arial" w:cs="Arial"/>
          <w:color w:val="000000"/>
          <w:sz w:val="20"/>
          <w:szCs w:val="20"/>
          <w:lang w:eastAsia="cs-CZ"/>
        </w:rPr>
        <w:t xml:space="preserve"> a </w:t>
      </w:r>
      <w:r w:rsidRPr="002923E0">
        <w:rPr>
          <w:rFonts w:ascii="Arial" w:eastAsia="Times New Roman" w:hAnsi="Arial" w:cs="Arial"/>
          <w:b/>
          <w:bCs/>
          <w:color w:val="000000"/>
          <w:sz w:val="20"/>
          <w:szCs w:val="20"/>
          <w:lang w:eastAsia="cs-CZ"/>
        </w:rPr>
        <w:t>třída</w:t>
      </w:r>
      <w:r w:rsidRPr="002923E0">
        <w:rPr>
          <w:rFonts w:ascii="Arial" w:eastAsia="Times New Roman" w:hAnsi="Arial" w:cs="Arial"/>
          <w:color w:val="000000"/>
          <w:sz w:val="20"/>
          <w:szCs w:val="20"/>
          <w:lang w:eastAsia="cs-CZ"/>
        </w:rPr>
        <w:t xml:space="preserve"> postupuje dekadicky po jednom místě, to znamená, že číselné kódy na třetím klasifikačním stupni jsou čtyřmístné.</w:t>
      </w:r>
    </w:p>
    <w:p w:rsidR="002923E0" w:rsidRP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Klasifikace</w:t>
      </w:r>
      <w:r w:rsidRPr="002923E0">
        <w:rPr>
          <w:rFonts w:ascii="Arial" w:eastAsia="Times New Roman" w:hAnsi="Arial" w:cs="Arial"/>
          <w:b/>
          <w:bCs/>
          <w:color w:val="000000"/>
          <w:sz w:val="20"/>
          <w:szCs w:val="20"/>
          <w:lang w:eastAsia="cs-CZ"/>
        </w:rPr>
        <w:t xml:space="preserve"> </w:t>
      </w:r>
      <w:r w:rsidRPr="002923E0">
        <w:rPr>
          <w:rFonts w:ascii="Arial" w:eastAsia="Times New Roman" w:hAnsi="Arial" w:cs="Arial"/>
          <w:color w:val="000000"/>
          <w:sz w:val="20"/>
          <w:szCs w:val="20"/>
          <w:lang w:eastAsia="cs-CZ"/>
        </w:rPr>
        <w:t>CZ-COPNI je tvořena 9 odd</w:t>
      </w:r>
      <w:r>
        <w:rPr>
          <w:rFonts w:ascii="Arial" w:eastAsia="Times New Roman" w:hAnsi="Arial" w:cs="Arial"/>
          <w:color w:val="000000"/>
          <w:sz w:val="20"/>
          <w:szCs w:val="20"/>
          <w:lang w:eastAsia="cs-CZ"/>
        </w:rPr>
        <w:t>íly, 26 skupinami a 54 třídami.</w:t>
      </w:r>
    </w:p>
    <w:p w:rsid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Čí</w:t>
      </w:r>
      <w:r>
        <w:rPr>
          <w:rFonts w:ascii="Arial" w:eastAsia="Times New Roman" w:hAnsi="Arial" w:cs="Arial"/>
          <w:color w:val="000000"/>
          <w:sz w:val="20"/>
          <w:szCs w:val="20"/>
          <w:lang w:eastAsia="cs-CZ"/>
        </w:rPr>
        <w:t>selný kód je konstruován takto:</w:t>
      </w:r>
    </w:p>
    <w:p w:rsidR="002923E0" w:rsidRP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noProof/>
          <w:color w:val="000000"/>
          <w:sz w:val="20"/>
          <w:szCs w:val="20"/>
          <w:lang w:eastAsia="cs-CZ"/>
        </w:rPr>
        <w:drawing>
          <wp:inline distT="0" distB="0" distL="0" distR="0">
            <wp:extent cx="2305050" cy="1545590"/>
            <wp:effectExtent l="19050" t="0" r="0" b="0"/>
            <wp:docPr id="1" name="obrázek 1" descr="kód konstrukce klasifikace CZ-COP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ód konstrukce klasifikace CZ-COPNI"/>
                    <pic:cNvPicPr>
                      <a:picLocks noChangeAspect="1" noChangeArrowheads="1"/>
                    </pic:cNvPicPr>
                  </pic:nvPicPr>
                  <pic:blipFill>
                    <a:blip r:embed="rId5" cstate="print"/>
                    <a:srcRect/>
                    <a:stretch>
                      <a:fillRect/>
                    </a:stretch>
                  </pic:blipFill>
                  <pic:spPr bwMode="auto">
                    <a:xfrm>
                      <a:off x="0" y="0"/>
                      <a:ext cx="2305050" cy="1545590"/>
                    </a:xfrm>
                    <a:prstGeom prst="rect">
                      <a:avLst/>
                    </a:prstGeom>
                    <a:noFill/>
                    <a:ln w="9525">
                      <a:noFill/>
                      <a:miter lim="800000"/>
                      <a:headEnd/>
                      <a:tailEnd/>
                    </a:ln>
                  </pic:spPr>
                </pic:pic>
              </a:graphicData>
            </a:graphic>
          </wp:inline>
        </w:drawing>
      </w:r>
    </w:p>
    <w:p w:rsidR="002923E0" w:rsidRP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b/>
          <w:bCs/>
          <w:color w:val="000000"/>
          <w:sz w:val="20"/>
          <w:szCs w:val="20"/>
          <w:lang w:eastAsia="cs-CZ"/>
        </w:rPr>
        <w:t>Související mezinárodní klasifikace</w:t>
      </w:r>
    </w:p>
    <w:p w:rsid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u w:val="single"/>
          <w:lang w:eastAsia="cs-CZ"/>
        </w:rPr>
        <w:t>Klasifikace služeb neziskových institucí sloužících domácnostem podle účelu</w:t>
      </w:r>
      <w:r w:rsidRPr="002923E0">
        <w:rPr>
          <w:rFonts w:ascii="Arial" w:eastAsia="Times New Roman" w:hAnsi="Arial" w:cs="Arial"/>
          <w:b/>
          <w:bCs/>
          <w:color w:val="000000"/>
          <w:sz w:val="20"/>
          <w:szCs w:val="20"/>
          <w:lang w:eastAsia="cs-CZ"/>
        </w:rPr>
        <w:t xml:space="preserve"> - COPNI</w:t>
      </w:r>
      <w:r w:rsidRPr="002923E0">
        <w:rPr>
          <w:rFonts w:ascii="Arial" w:eastAsia="Times New Roman" w:hAnsi="Arial" w:cs="Arial"/>
          <w:color w:val="000000"/>
          <w:sz w:val="20"/>
          <w:szCs w:val="20"/>
          <w:lang w:eastAsia="cs-CZ"/>
        </w:rPr>
        <w:t xml:space="preserve"> je jednou ze čtyř funkčních klasifikací (další klasifikace jsou COFOG, COICOP, COPP) v Systému národních účtů (SNA) z roku 1993.</w:t>
      </w:r>
    </w:p>
    <w:p w:rsidR="002923E0" w:rsidRP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Čtyři klasifikace byly vytvořeny ke klasifikaci transakcí: neziskových institucí sloužících domácnostem (NISD), vládních institucí a výrobců. Výsledkem těchto transakcí jsou peníze (vyplacené nebo mající být zaplaceny) na pořízení provozních a investičních výrobků nebo za odvedenou práci či jiné služby, k získání finančních aktiv ne</w:t>
      </w:r>
      <w:r>
        <w:rPr>
          <w:rFonts w:ascii="Arial" w:eastAsia="Times New Roman" w:hAnsi="Arial" w:cs="Arial"/>
          <w:color w:val="000000"/>
          <w:sz w:val="20"/>
          <w:szCs w:val="20"/>
          <w:lang w:eastAsia="cs-CZ"/>
        </w:rPr>
        <w:t>bo splacení finančních závazků.</w:t>
      </w:r>
    </w:p>
    <w:p w:rsid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 xml:space="preserve">- COICOP je používán ke klasifikaci výdajů jednoho druhu - individuální </w:t>
      </w:r>
      <w:proofErr w:type="gramStart"/>
      <w:r w:rsidRPr="002923E0">
        <w:rPr>
          <w:rFonts w:ascii="Arial" w:eastAsia="Times New Roman" w:hAnsi="Arial" w:cs="Arial"/>
          <w:color w:val="000000"/>
          <w:sz w:val="20"/>
          <w:szCs w:val="20"/>
          <w:lang w:eastAsia="cs-CZ"/>
        </w:rPr>
        <w:t>spotřeby : domácností</w:t>
      </w:r>
      <w:proofErr w:type="gramEnd"/>
      <w:r w:rsidRPr="002923E0">
        <w:rPr>
          <w:rFonts w:ascii="Arial" w:eastAsia="Times New Roman" w:hAnsi="Arial" w:cs="Arial"/>
          <w:color w:val="000000"/>
          <w:sz w:val="20"/>
          <w:szCs w:val="20"/>
          <w:lang w:eastAsia="cs-CZ"/>
        </w:rPr>
        <w:t>, NISD a vládních institucí sloužících domácnostem.</w:t>
      </w:r>
    </w:p>
    <w:p w:rsid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 xml:space="preserve">- COPNI a COFOG jsou používány ke klasifikaci transakcí včetně výdajů na konečnou spotřebu, </w:t>
      </w:r>
      <w:proofErr w:type="spellStart"/>
      <w:r w:rsidRPr="002923E0">
        <w:rPr>
          <w:rFonts w:ascii="Arial" w:eastAsia="Times New Roman" w:hAnsi="Arial" w:cs="Arial"/>
          <w:color w:val="000000"/>
          <w:sz w:val="20"/>
          <w:szCs w:val="20"/>
          <w:lang w:eastAsia="cs-CZ"/>
        </w:rPr>
        <w:t>mezispotřebu</w:t>
      </w:r>
      <w:proofErr w:type="spellEnd"/>
      <w:r w:rsidRPr="002923E0">
        <w:rPr>
          <w:rFonts w:ascii="Arial" w:eastAsia="Times New Roman" w:hAnsi="Arial" w:cs="Arial"/>
          <w:color w:val="000000"/>
          <w:sz w:val="20"/>
          <w:szCs w:val="20"/>
          <w:lang w:eastAsia="cs-CZ"/>
        </w:rPr>
        <w:t>, hrubý přírůstek základního kapitálu a ke klasifikaci kapitálových a běžných transferů, vykazovaných u NISD a vládních institucí.</w:t>
      </w:r>
    </w:p>
    <w:p w:rsidR="002923E0" w:rsidRP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 xml:space="preserve">- COPP je používán ke klasifikaci </w:t>
      </w:r>
      <w:proofErr w:type="spellStart"/>
      <w:r w:rsidRPr="002923E0">
        <w:rPr>
          <w:rFonts w:ascii="Arial" w:eastAsia="Times New Roman" w:hAnsi="Arial" w:cs="Arial"/>
          <w:color w:val="000000"/>
          <w:sz w:val="20"/>
          <w:szCs w:val="20"/>
          <w:lang w:eastAsia="cs-CZ"/>
        </w:rPr>
        <w:t>mezispotřeby</w:t>
      </w:r>
      <w:proofErr w:type="spellEnd"/>
      <w:r w:rsidRPr="002923E0">
        <w:rPr>
          <w:rFonts w:ascii="Arial" w:eastAsia="Times New Roman" w:hAnsi="Arial" w:cs="Arial"/>
          <w:color w:val="000000"/>
          <w:sz w:val="20"/>
          <w:szCs w:val="20"/>
          <w:lang w:eastAsia="cs-CZ"/>
        </w:rPr>
        <w:t>, kapitálových výdajů (finančních a nefinančních) jedn</w:t>
      </w:r>
      <w:r>
        <w:rPr>
          <w:rFonts w:ascii="Arial" w:eastAsia="Times New Roman" w:hAnsi="Arial" w:cs="Arial"/>
          <w:color w:val="000000"/>
          <w:sz w:val="20"/>
          <w:szCs w:val="20"/>
          <w:lang w:eastAsia="cs-CZ"/>
        </w:rPr>
        <w:t>otlivých společností i podniků.</w:t>
      </w:r>
    </w:p>
    <w:p w:rsid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 xml:space="preserve">Funkční klasifikace jsou vzájemně příbuzné a jejich příbuznost je spjata rovněž i s jinými mezinárodními klasifikacemi, které jsou speciálně předmětem zájmu COICOP, COPNI a COFOG. Společná všem třem klasifikacím je </w:t>
      </w:r>
      <w:r w:rsidRPr="002923E0">
        <w:rPr>
          <w:rFonts w:ascii="Arial" w:eastAsia="Times New Roman" w:hAnsi="Arial" w:cs="Arial"/>
          <w:color w:val="000000"/>
          <w:sz w:val="20"/>
          <w:szCs w:val="20"/>
          <w:u w:val="single"/>
          <w:lang w:eastAsia="cs-CZ"/>
        </w:rPr>
        <w:t>Mezinárodní standardní klasifikace vzdělávání</w:t>
      </w:r>
      <w:r w:rsidRPr="002923E0">
        <w:rPr>
          <w:rFonts w:ascii="Arial" w:eastAsia="Times New Roman" w:hAnsi="Arial" w:cs="Arial"/>
          <w:color w:val="000000"/>
          <w:sz w:val="20"/>
          <w:szCs w:val="20"/>
          <w:lang w:eastAsia="cs-CZ"/>
        </w:rPr>
        <w:t xml:space="preserve"> z roku 1997 (ISCED-97)</w:t>
      </w:r>
      <w:r w:rsidRPr="002923E0">
        <w:rPr>
          <w:rFonts w:ascii="Arial" w:eastAsia="Times New Roman" w:hAnsi="Arial" w:cs="Arial"/>
          <w:color w:val="000000"/>
          <w:sz w:val="20"/>
          <w:szCs w:val="20"/>
          <w:vertAlign w:val="superscript"/>
          <w:lang w:eastAsia="cs-CZ"/>
        </w:rPr>
        <w:t>6)</w:t>
      </w:r>
      <w:r w:rsidRPr="002923E0">
        <w:rPr>
          <w:rFonts w:ascii="Arial" w:eastAsia="Times New Roman" w:hAnsi="Arial" w:cs="Arial"/>
          <w:color w:val="000000"/>
          <w:sz w:val="20"/>
          <w:szCs w:val="20"/>
          <w:lang w:eastAsia="cs-CZ"/>
        </w:rPr>
        <w:t xml:space="preserve"> s opětně zavedenou třídou - Vzdělávání nedefinované podle úrovně</w:t>
      </w:r>
      <w:r w:rsidRPr="002923E0">
        <w:rPr>
          <w:rFonts w:ascii="Arial" w:eastAsia="Times New Roman" w:hAnsi="Arial" w:cs="Arial"/>
          <w:i/>
          <w:iCs/>
          <w:color w:val="000000"/>
          <w:sz w:val="20"/>
          <w:szCs w:val="20"/>
          <w:lang w:eastAsia="cs-CZ"/>
        </w:rPr>
        <w:t>.</w:t>
      </w:r>
      <w:r w:rsidRPr="002923E0">
        <w:rPr>
          <w:rFonts w:ascii="Arial" w:eastAsia="Times New Roman" w:hAnsi="Arial" w:cs="Arial"/>
          <w:color w:val="000000"/>
          <w:sz w:val="20"/>
          <w:szCs w:val="20"/>
          <w:lang w:eastAsia="cs-CZ"/>
        </w:rPr>
        <w:t xml:space="preserve"> Tato třída je tedy znova obsažena v uvedených třech klasifikacích.</w:t>
      </w:r>
    </w:p>
    <w:p w:rsidR="002923E0" w:rsidRP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 xml:space="preserve">Jako příbuzná klasifikace COPNI byla v Institutu Univerzity Johna </w:t>
      </w:r>
      <w:proofErr w:type="spellStart"/>
      <w:r w:rsidRPr="002923E0">
        <w:rPr>
          <w:rFonts w:ascii="Arial" w:eastAsia="Times New Roman" w:hAnsi="Arial" w:cs="Arial"/>
          <w:color w:val="000000"/>
          <w:sz w:val="20"/>
          <w:szCs w:val="20"/>
          <w:lang w:eastAsia="cs-CZ"/>
        </w:rPr>
        <w:t>Hopkinse</w:t>
      </w:r>
      <w:proofErr w:type="spellEnd"/>
      <w:r w:rsidRPr="002923E0">
        <w:rPr>
          <w:rFonts w:ascii="Arial" w:eastAsia="Times New Roman" w:hAnsi="Arial" w:cs="Arial"/>
          <w:color w:val="000000"/>
          <w:sz w:val="20"/>
          <w:szCs w:val="20"/>
          <w:lang w:eastAsia="cs-CZ"/>
        </w:rPr>
        <w:t xml:space="preserve"> pro studium řízení vyvinuta</w:t>
      </w:r>
      <w:r w:rsidRPr="002923E0">
        <w:rPr>
          <w:rFonts w:ascii="Arial" w:eastAsia="Times New Roman" w:hAnsi="Arial" w:cs="Arial"/>
          <w:b/>
          <w:bCs/>
          <w:i/>
          <w:iCs/>
          <w:color w:val="000000"/>
          <w:sz w:val="20"/>
          <w:szCs w:val="20"/>
          <w:lang w:eastAsia="cs-CZ"/>
        </w:rPr>
        <w:t xml:space="preserve"> </w:t>
      </w:r>
      <w:r w:rsidRPr="002923E0">
        <w:rPr>
          <w:rFonts w:ascii="Arial" w:eastAsia="Times New Roman" w:hAnsi="Arial" w:cs="Arial"/>
          <w:color w:val="000000"/>
          <w:sz w:val="20"/>
          <w:szCs w:val="20"/>
          <w:u w:val="single"/>
          <w:lang w:eastAsia="cs-CZ"/>
        </w:rPr>
        <w:t>Mezinárodní klasifikace neziskových organizací</w:t>
      </w:r>
      <w:r w:rsidRPr="002923E0">
        <w:rPr>
          <w:rFonts w:ascii="Arial" w:eastAsia="Times New Roman" w:hAnsi="Arial" w:cs="Arial"/>
          <w:i/>
          <w:iCs/>
          <w:color w:val="000000"/>
          <w:sz w:val="20"/>
          <w:szCs w:val="20"/>
          <w:lang w:eastAsia="cs-CZ"/>
        </w:rPr>
        <w:t xml:space="preserve"> </w:t>
      </w:r>
      <w:r w:rsidRPr="002923E0">
        <w:rPr>
          <w:rFonts w:ascii="Arial" w:eastAsia="Times New Roman" w:hAnsi="Arial" w:cs="Arial"/>
          <w:color w:val="000000"/>
          <w:sz w:val="20"/>
          <w:szCs w:val="20"/>
          <w:lang w:eastAsia="cs-CZ"/>
        </w:rPr>
        <w:t>(ICNPO)</w:t>
      </w:r>
      <w:r w:rsidRPr="002923E0">
        <w:rPr>
          <w:rFonts w:ascii="Arial" w:eastAsia="Times New Roman" w:hAnsi="Arial" w:cs="Arial"/>
          <w:color w:val="000000"/>
          <w:sz w:val="20"/>
          <w:szCs w:val="20"/>
          <w:vertAlign w:val="superscript"/>
          <w:lang w:eastAsia="cs-CZ"/>
        </w:rPr>
        <w:t>7)</w:t>
      </w:r>
      <w:r w:rsidRPr="002923E0">
        <w:rPr>
          <w:rFonts w:ascii="Arial" w:eastAsia="Times New Roman" w:hAnsi="Arial" w:cs="Arial"/>
          <w:color w:val="000000"/>
          <w:sz w:val="20"/>
          <w:szCs w:val="20"/>
          <w:lang w:eastAsia="cs-CZ"/>
        </w:rPr>
        <w:t xml:space="preserve">. </w:t>
      </w:r>
      <w:proofErr w:type="gramStart"/>
      <w:r w:rsidRPr="002923E0">
        <w:rPr>
          <w:rFonts w:ascii="Arial" w:eastAsia="Times New Roman" w:hAnsi="Arial" w:cs="Arial"/>
          <w:color w:val="000000"/>
          <w:sz w:val="20"/>
          <w:szCs w:val="20"/>
          <w:lang w:eastAsia="cs-CZ"/>
        </w:rPr>
        <w:t>Skládá</w:t>
      </w:r>
      <w:proofErr w:type="gramEnd"/>
      <w:r w:rsidRPr="002923E0">
        <w:rPr>
          <w:rFonts w:ascii="Arial" w:eastAsia="Times New Roman" w:hAnsi="Arial" w:cs="Arial"/>
          <w:color w:val="000000"/>
          <w:sz w:val="20"/>
          <w:szCs w:val="20"/>
          <w:lang w:eastAsia="cs-CZ"/>
        </w:rPr>
        <w:t xml:space="preserve"> se z 12 hlavních skupin jako je Kultura a rekreace, Vzdělávání a výzkum, Zdraví, Sociální ochrana, Životní prostředí, Náboženství atd., kt</w:t>
      </w:r>
      <w:r>
        <w:rPr>
          <w:rFonts w:ascii="Arial" w:eastAsia="Times New Roman" w:hAnsi="Arial" w:cs="Arial"/>
          <w:color w:val="000000"/>
          <w:sz w:val="20"/>
          <w:szCs w:val="20"/>
          <w:lang w:eastAsia="cs-CZ"/>
        </w:rPr>
        <w:t>eré jsou podobné oddílům COPNI.</w:t>
      </w:r>
    </w:p>
    <w:p w:rsidR="002923E0" w:rsidRP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lastRenderedPageBreak/>
        <w:t>Klasifikace ICNPO se odlišuje zejména tím, že představuje více klasifikaci činností než klasifikaci podle účelu. V klasifikaci ICNPO je např. veškerý výzkum zahrnut do jedné podskupiny, v COPNI je rozdělen podle účelu, kterému slouží. Údaje klasifikované podle ICNPO by bylo třeba přizpůsobit pro možnos</w:t>
      </w:r>
      <w:r>
        <w:rPr>
          <w:rFonts w:ascii="Arial" w:eastAsia="Times New Roman" w:hAnsi="Arial" w:cs="Arial"/>
          <w:color w:val="000000"/>
          <w:sz w:val="20"/>
          <w:szCs w:val="20"/>
          <w:lang w:eastAsia="cs-CZ"/>
        </w:rPr>
        <w:t>t převedení do COPNI.</w:t>
      </w:r>
    </w:p>
    <w:p w:rsidR="002923E0" w:rsidRP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b/>
          <w:bCs/>
          <w:color w:val="000000"/>
          <w:sz w:val="20"/>
          <w:szCs w:val="20"/>
          <w:lang w:eastAsia="cs-CZ"/>
        </w:rPr>
        <w:t xml:space="preserve">Poznámka: </w:t>
      </w:r>
      <w:r w:rsidRPr="002923E0">
        <w:rPr>
          <w:rFonts w:ascii="Arial" w:eastAsia="Times New Roman" w:hAnsi="Arial" w:cs="Arial"/>
          <w:color w:val="000000"/>
          <w:sz w:val="20"/>
          <w:szCs w:val="20"/>
          <w:lang w:eastAsia="cs-CZ"/>
        </w:rPr>
        <w:t>Klasifikace CZ-COFOG, CZ-COICOP a CZ-COPNI jsou již u nás zavedeny. Se zavedením čtvrté klas</w:t>
      </w:r>
      <w:r>
        <w:rPr>
          <w:rFonts w:ascii="Arial" w:eastAsia="Times New Roman" w:hAnsi="Arial" w:cs="Arial"/>
          <w:color w:val="000000"/>
          <w:sz w:val="20"/>
          <w:szCs w:val="20"/>
          <w:lang w:eastAsia="cs-CZ"/>
        </w:rPr>
        <w:t>ifikace COPP se zatím nepočítá.</w:t>
      </w:r>
    </w:p>
    <w:p w:rsidR="002923E0" w:rsidRP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b/>
          <w:bCs/>
          <w:color w:val="000000"/>
          <w:sz w:val="20"/>
          <w:szCs w:val="20"/>
          <w:lang w:eastAsia="cs-CZ"/>
        </w:rPr>
        <w:t>Společné funkce</w:t>
      </w:r>
    </w:p>
    <w:p w:rsidR="002923E0" w:rsidRP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 xml:space="preserve">Tabulka 2 uvádí některé ze sociálně-ekonomických cílů, které jsou společné pro dvě nebo více výše uvedených klasifikací (označeno </w:t>
      </w:r>
      <w:r w:rsidRPr="002923E0">
        <w:rPr>
          <w:rFonts w:ascii="Arial" w:eastAsia="Times New Roman" w:hAnsi="Arial" w:cs="Arial"/>
          <w:b/>
          <w:bCs/>
          <w:color w:val="000000"/>
          <w:sz w:val="20"/>
          <w:szCs w:val="20"/>
          <w:lang w:eastAsia="cs-CZ"/>
        </w:rPr>
        <w:t>X</w:t>
      </w:r>
      <w:r>
        <w:rPr>
          <w:rFonts w:ascii="Arial" w:eastAsia="Times New Roman" w:hAnsi="Arial" w:cs="Arial"/>
          <w:color w:val="000000"/>
          <w:sz w:val="20"/>
          <w:szCs w:val="20"/>
          <w:lang w:eastAsia="cs-CZ"/>
        </w:rPr>
        <w:t>).</w:t>
      </w:r>
    </w:p>
    <w:p w:rsidR="002923E0" w:rsidRP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označení</w:t>
      </w:r>
      <w:r w:rsidRPr="002923E0">
        <w:rPr>
          <w:rFonts w:ascii="Arial" w:eastAsia="Times New Roman" w:hAnsi="Arial" w:cs="Arial"/>
          <w:b/>
          <w:bCs/>
          <w:color w:val="000000"/>
          <w:sz w:val="20"/>
          <w:szCs w:val="20"/>
          <w:lang w:eastAsia="cs-CZ"/>
        </w:rPr>
        <w:t xml:space="preserve"> „X"</w:t>
      </w:r>
      <w:r w:rsidRPr="002923E0">
        <w:rPr>
          <w:rFonts w:ascii="Arial" w:eastAsia="Times New Roman" w:hAnsi="Arial" w:cs="Arial"/>
          <w:color w:val="000000"/>
          <w:sz w:val="20"/>
          <w:szCs w:val="20"/>
          <w:lang w:eastAsia="cs-CZ"/>
        </w:rPr>
        <w:t xml:space="preserve"> znamená, že funkce je identifikována v dané klasifikaci, protože je považována za důležitou pro zařazení do příslušného institucionálního sektoru</w:t>
      </w:r>
      <w:r w:rsidRPr="002923E0">
        <w:rPr>
          <w:rFonts w:ascii="Arial" w:eastAsia="Times New Roman" w:hAnsi="Arial" w:cs="Arial"/>
          <w:color w:val="000000"/>
          <w:sz w:val="20"/>
          <w:szCs w:val="20"/>
          <w:vertAlign w:val="superscript"/>
          <w:lang w:eastAsia="cs-CZ"/>
        </w:rPr>
        <w:t>8)</w:t>
      </w:r>
      <w:r w:rsidRPr="002923E0">
        <w:rPr>
          <w:rFonts w:ascii="Arial" w:eastAsia="Times New Roman" w:hAnsi="Arial" w:cs="Arial"/>
          <w:color w:val="000000"/>
          <w:sz w:val="20"/>
          <w:szCs w:val="20"/>
          <w:lang w:eastAsia="cs-CZ"/>
        </w:rPr>
        <w:t>; označení</w:t>
      </w:r>
      <w:r w:rsidRPr="002923E0">
        <w:rPr>
          <w:rFonts w:ascii="Arial" w:eastAsia="Times New Roman" w:hAnsi="Arial" w:cs="Arial"/>
          <w:b/>
          <w:bCs/>
          <w:color w:val="000000"/>
          <w:sz w:val="20"/>
          <w:szCs w:val="20"/>
          <w:lang w:eastAsia="cs-CZ"/>
        </w:rPr>
        <w:t xml:space="preserve"> „ </w:t>
      </w:r>
      <w:r w:rsidRPr="002923E0">
        <w:rPr>
          <w:rFonts w:ascii="Arial" w:eastAsia="Times New Roman" w:hAnsi="Arial" w:cs="Arial"/>
          <w:color w:val="000000"/>
          <w:sz w:val="20"/>
          <w:szCs w:val="20"/>
          <w:lang w:eastAsia="cs-CZ"/>
        </w:rPr>
        <w:t>-</w:t>
      </w:r>
      <w:r w:rsidRPr="002923E0">
        <w:rPr>
          <w:rFonts w:ascii="Arial" w:eastAsia="Times New Roman" w:hAnsi="Arial" w:cs="Arial"/>
          <w:b/>
          <w:bCs/>
          <w:color w:val="000000"/>
          <w:sz w:val="20"/>
          <w:szCs w:val="20"/>
          <w:lang w:eastAsia="cs-CZ"/>
        </w:rPr>
        <w:t xml:space="preserve"> "</w:t>
      </w:r>
      <w:r w:rsidRPr="002923E0">
        <w:rPr>
          <w:rFonts w:ascii="Arial" w:eastAsia="Times New Roman" w:hAnsi="Arial" w:cs="Arial"/>
          <w:color w:val="000000"/>
          <w:sz w:val="20"/>
          <w:szCs w:val="20"/>
          <w:lang w:eastAsia="cs-CZ"/>
        </w:rPr>
        <w:t xml:space="preserve"> znamená, že funkce není identifikována v dané klasifikaci, protože v tomto sektoru není důležitá nebo se očekává, že její hodnota</w:t>
      </w:r>
      <w:r>
        <w:rPr>
          <w:rFonts w:ascii="Arial" w:eastAsia="Times New Roman" w:hAnsi="Arial" w:cs="Arial"/>
          <w:color w:val="000000"/>
          <w:sz w:val="20"/>
          <w:szCs w:val="20"/>
          <w:lang w:eastAsia="cs-CZ"/>
        </w:rPr>
        <w:t xml:space="preserve"> bude kvantitativně nevýznamná.</w:t>
      </w:r>
    </w:p>
    <w:p w:rsid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 xml:space="preserve">Identifikované funkce v těchto klasifikacích jsou ty, které jsou v posledních letech považovány za důležité jak pro většinu zemí, tak pro jednotlivé země. Pro další léta je předpokládáno, že některé funkce mohou být nahrazeny jinými, které nyní ještě nejsou předvídány. Společná všem mezinárodním klasifikacím zůstává nadále potřeba přizpůsobit funkční klasifikace národním požadavkům a zároveň je revidovat takovým způsobem, </w:t>
      </w:r>
      <w:r>
        <w:rPr>
          <w:rFonts w:ascii="Arial" w:eastAsia="Times New Roman" w:hAnsi="Arial" w:cs="Arial"/>
          <w:color w:val="000000"/>
          <w:sz w:val="20"/>
          <w:szCs w:val="20"/>
          <w:lang w:eastAsia="cs-CZ"/>
        </w:rPr>
        <w:t>aby zahrnuly změněné okolnosti.</w:t>
      </w:r>
    </w:p>
    <w:p w:rsidR="002923E0" w:rsidRPr="002923E0" w:rsidRDefault="002923E0" w:rsidP="002923E0">
      <w:pPr>
        <w:spacing w:after="0" w:line="240" w:lineRule="auto"/>
        <w:jc w:val="both"/>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t>tab. 1</w:t>
      </w:r>
    </w:p>
    <w:tbl>
      <w:tblPr>
        <w:tblW w:w="0" w:type="auto"/>
        <w:tblCellSpacing w:w="0" w:type="dxa"/>
        <w:tblCellMar>
          <w:left w:w="0" w:type="dxa"/>
          <w:right w:w="0" w:type="dxa"/>
        </w:tblCellMar>
        <w:tblLook w:val="04A0"/>
      </w:tblPr>
      <w:tblGrid>
        <w:gridCol w:w="8250"/>
        <w:gridCol w:w="822"/>
      </w:tblGrid>
      <w:tr w:rsidR="002923E0" w:rsidRPr="002923E0" w:rsidTr="002923E0">
        <w:trPr>
          <w:tblCellSpacing w:w="0" w:type="dxa"/>
        </w:trPr>
        <w:tc>
          <w:tcPr>
            <w:tcW w:w="8250" w:type="dxa"/>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b/>
                <w:bCs/>
                <w:color w:val="000000"/>
                <w:sz w:val="20"/>
                <w:szCs w:val="20"/>
                <w:lang w:eastAsia="cs-CZ"/>
              </w:rPr>
              <w:t>Příklady funkcí společných pro více než jednu klasifikaci</w:t>
            </w:r>
          </w:p>
        </w:tc>
        <w:tc>
          <w:tcPr>
            <w:tcW w:w="822" w:type="dxa"/>
            <w:hideMark/>
          </w:tcPr>
          <w:p w:rsidR="002923E0" w:rsidRPr="002923E0" w:rsidRDefault="002923E0" w:rsidP="002923E0">
            <w:pPr>
              <w:pStyle w:val="Odstavecseseznamem"/>
              <w:numPr>
                <w:ilvl w:val="0"/>
                <w:numId w:val="3"/>
              </w:numPr>
              <w:spacing w:after="0" w:line="240" w:lineRule="auto"/>
              <w:jc w:val="both"/>
              <w:rPr>
                <w:rFonts w:ascii="Arial" w:eastAsia="Times New Roman" w:hAnsi="Arial" w:cs="Arial"/>
                <w:color w:val="000000"/>
                <w:sz w:val="20"/>
                <w:szCs w:val="20"/>
                <w:lang w:eastAsia="cs-CZ"/>
              </w:rPr>
            </w:pPr>
          </w:p>
        </w:tc>
      </w:tr>
    </w:tbl>
    <w:p w:rsidR="002923E0" w:rsidRPr="002923E0" w:rsidRDefault="002923E0" w:rsidP="002923E0">
      <w:pPr>
        <w:spacing w:after="0" w:line="240" w:lineRule="auto"/>
        <w:jc w:val="both"/>
        <w:rPr>
          <w:rFonts w:ascii="Arial" w:eastAsia="Times New Roman" w:hAnsi="Arial" w:cs="Arial"/>
          <w:vanish/>
          <w:color w:val="000000"/>
          <w:sz w:val="20"/>
          <w:szCs w:val="20"/>
          <w:lang w:eastAsia="cs-CZ"/>
        </w:rPr>
      </w:pP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680"/>
        <w:gridCol w:w="1257"/>
        <w:gridCol w:w="2021"/>
        <w:gridCol w:w="1467"/>
        <w:gridCol w:w="1767"/>
      </w:tblGrid>
      <w:tr w:rsidR="002923E0" w:rsidRPr="002923E0" w:rsidTr="002923E0">
        <w:trPr>
          <w:tblCellSpacing w:w="15" w:type="dxa"/>
        </w:trPr>
        <w:tc>
          <w:tcPr>
            <w:tcW w:w="267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Funkce</w:t>
            </w:r>
          </w:p>
        </w:tc>
        <w:tc>
          <w:tcPr>
            <w:tcW w:w="123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 xml:space="preserve">Domácnosti </w:t>
            </w:r>
          </w:p>
          <w:p w:rsidR="002923E0" w:rsidRP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COICOP</w:t>
            </w:r>
          </w:p>
        </w:tc>
        <w:tc>
          <w:tcPr>
            <w:tcW w:w="201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 xml:space="preserve">Neziskové instituce </w:t>
            </w:r>
            <w:r w:rsidRPr="002923E0">
              <w:rPr>
                <w:rFonts w:ascii="Arial" w:eastAsia="Times New Roman" w:hAnsi="Arial" w:cs="Arial"/>
                <w:color w:val="000000"/>
                <w:sz w:val="20"/>
                <w:szCs w:val="20"/>
                <w:lang w:eastAsia="cs-CZ"/>
              </w:rPr>
              <w:br/>
              <w:t xml:space="preserve">sloužící domácnostem </w:t>
            </w:r>
          </w:p>
          <w:p w:rsidR="002923E0" w:rsidRP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COPNI</w:t>
            </w:r>
          </w:p>
        </w:tc>
        <w:tc>
          <w:tcPr>
            <w:tcW w:w="1455"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 xml:space="preserve">Vládní instituce </w:t>
            </w:r>
          </w:p>
          <w:p w:rsidR="002923E0" w:rsidRP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COFOG</w:t>
            </w:r>
          </w:p>
        </w:tc>
        <w:tc>
          <w:tcPr>
            <w:tcW w:w="174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 xml:space="preserve">Společnosti a </w:t>
            </w:r>
            <w:r w:rsidRPr="002923E0">
              <w:rPr>
                <w:rFonts w:ascii="Arial" w:eastAsia="Times New Roman" w:hAnsi="Arial" w:cs="Arial"/>
                <w:color w:val="000000"/>
                <w:sz w:val="20"/>
                <w:szCs w:val="20"/>
                <w:lang w:eastAsia="cs-CZ"/>
              </w:rPr>
              <w:br/>
              <w:t xml:space="preserve">jednotlivé podniky </w:t>
            </w:r>
            <w:r w:rsidRPr="002923E0">
              <w:rPr>
                <w:rFonts w:ascii="Arial" w:eastAsia="Times New Roman" w:hAnsi="Arial" w:cs="Arial"/>
                <w:color w:val="000000"/>
                <w:sz w:val="20"/>
                <w:szCs w:val="20"/>
                <w:lang w:eastAsia="cs-CZ"/>
              </w:rPr>
              <w:br/>
              <w:t xml:space="preserve">(výrobci) </w:t>
            </w:r>
            <w:r w:rsidRPr="002923E0">
              <w:rPr>
                <w:rFonts w:ascii="Arial" w:eastAsia="Times New Roman" w:hAnsi="Arial" w:cs="Arial"/>
                <w:color w:val="000000"/>
                <w:sz w:val="20"/>
                <w:szCs w:val="20"/>
                <w:lang w:eastAsia="cs-CZ"/>
              </w:rPr>
              <w:br/>
              <w:t>COPP</w:t>
            </w:r>
          </w:p>
        </w:tc>
      </w:tr>
      <w:tr w:rsidR="002923E0" w:rsidRPr="002923E0" w:rsidTr="002923E0">
        <w:trPr>
          <w:tblCellSpacing w:w="15" w:type="dxa"/>
        </w:trPr>
        <w:tc>
          <w:tcPr>
            <w:tcW w:w="267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br/>
              <w:t>Zdraví</w:t>
            </w:r>
          </w:p>
        </w:tc>
        <w:tc>
          <w:tcPr>
            <w:tcW w:w="123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c>
          <w:tcPr>
            <w:tcW w:w="201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c>
          <w:tcPr>
            <w:tcW w:w="1455"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c>
          <w:tcPr>
            <w:tcW w:w="174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r>
      <w:tr w:rsidR="002923E0" w:rsidRPr="002923E0" w:rsidTr="002923E0">
        <w:trPr>
          <w:tblCellSpacing w:w="15" w:type="dxa"/>
        </w:trPr>
        <w:tc>
          <w:tcPr>
            <w:tcW w:w="267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Rekreace</w:t>
            </w:r>
          </w:p>
        </w:tc>
        <w:tc>
          <w:tcPr>
            <w:tcW w:w="123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c>
          <w:tcPr>
            <w:tcW w:w="201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c>
          <w:tcPr>
            <w:tcW w:w="1455"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c>
          <w:tcPr>
            <w:tcW w:w="174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r>
      <w:tr w:rsidR="002923E0" w:rsidRPr="002923E0" w:rsidTr="002923E0">
        <w:trPr>
          <w:tblCellSpacing w:w="15" w:type="dxa"/>
        </w:trPr>
        <w:tc>
          <w:tcPr>
            <w:tcW w:w="267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Kultura</w:t>
            </w:r>
          </w:p>
        </w:tc>
        <w:tc>
          <w:tcPr>
            <w:tcW w:w="123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c>
          <w:tcPr>
            <w:tcW w:w="201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c>
          <w:tcPr>
            <w:tcW w:w="1455"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c>
          <w:tcPr>
            <w:tcW w:w="174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r>
      <w:tr w:rsidR="002923E0" w:rsidRPr="002923E0" w:rsidTr="002923E0">
        <w:trPr>
          <w:tblCellSpacing w:w="15" w:type="dxa"/>
        </w:trPr>
        <w:tc>
          <w:tcPr>
            <w:tcW w:w="267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Vzdělávání</w:t>
            </w:r>
          </w:p>
        </w:tc>
        <w:tc>
          <w:tcPr>
            <w:tcW w:w="123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c>
          <w:tcPr>
            <w:tcW w:w="201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c>
          <w:tcPr>
            <w:tcW w:w="1455"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c>
          <w:tcPr>
            <w:tcW w:w="174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r>
      <w:tr w:rsidR="002923E0" w:rsidRPr="002923E0" w:rsidTr="002923E0">
        <w:trPr>
          <w:tblCellSpacing w:w="15" w:type="dxa"/>
        </w:trPr>
        <w:tc>
          <w:tcPr>
            <w:tcW w:w="267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Sociální ochrana (péče)</w:t>
            </w:r>
          </w:p>
        </w:tc>
        <w:tc>
          <w:tcPr>
            <w:tcW w:w="123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c>
          <w:tcPr>
            <w:tcW w:w="201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c>
          <w:tcPr>
            <w:tcW w:w="1455"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c>
          <w:tcPr>
            <w:tcW w:w="174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r>
      <w:tr w:rsidR="002923E0" w:rsidRPr="002923E0" w:rsidTr="002923E0">
        <w:trPr>
          <w:tblCellSpacing w:w="15" w:type="dxa"/>
        </w:trPr>
        <w:tc>
          <w:tcPr>
            <w:tcW w:w="267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Ochrana životního prostředí</w:t>
            </w:r>
          </w:p>
        </w:tc>
        <w:tc>
          <w:tcPr>
            <w:tcW w:w="123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w:t>
            </w:r>
          </w:p>
        </w:tc>
        <w:tc>
          <w:tcPr>
            <w:tcW w:w="201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c>
          <w:tcPr>
            <w:tcW w:w="1455"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c>
          <w:tcPr>
            <w:tcW w:w="174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r>
      <w:tr w:rsidR="002923E0" w:rsidRPr="002923E0" w:rsidTr="002923E0">
        <w:trPr>
          <w:tblCellSpacing w:w="15" w:type="dxa"/>
        </w:trPr>
        <w:tc>
          <w:tcPr>
            <w:tcW w:w="267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Výzkum a vývoj</w:t>
            </w:r>
          </w:p>
        </w:tc>
        <w:tc>
          <w:tcPr>
            <w:tcW w:w="123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w:t>
            </w:r>
          </w:p>
        </w:tc>
        <w:tc>
          <w:tcPr>
            <w:tcW w:w="201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c>
          <w:tcPr>
            <w:tcW w:w="1455"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c>
          <w:tcPr>
            <w:tcW w:w="174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r>
      <w:tr w:rsidR="002923E0" w:rsidRPr="002923E0" w:rsidTr="002923E0">
        <w:trPr>
          <w:tblCellSpacing w:w="15" w:type="dxa"/>
        </w:trPr>
        <w:tc>
          <w:tcPr>
            <w:tcW w:w="267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Bydlení</w:t>
            </w:r>
          </w:p>
        </w:tc>
        <w:tc>
          <w:tcPr>
            <w:tcW w:w="123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c>
          <w:tcPr>
            <w:tcW w:w="201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c>
          <w:tcPr>
            <w:tcW w:w="1455"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c>
          <w:tcPr>
            <w:tcW w:w="174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w:t>
            </w:r>
          </w:p>
        </w:tc>
      </w:tr>
      <w:tr w:rsidR="002923E0" w:rsidRPr="002923E0" w:rsidTr="002923E0">
        <w:trPr>
          <w:tblCellSpacing w:w="15" w:type="dxa"/>
        </w:trPr>
        <w:tc>
          <w:tcPr>
            <w:tcW w:w="267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Doprava</w:t>
            </w:r>
          </w:p>
        </w:tc>
        <w:tc>
          <w:tcPr>
            <w:tcW w:w="123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c>
          <w:tcPr>
            <w:tcW w:w="201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w:t>
            </w:r>
          </w:p>
        </w:tc>
        <w:tc>
          <w:tcPr>
            <w:tcW w:w="1455"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c>
          <w:tcPr>
            <w:tcW w:w="174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r>
      <w:tr w:rsidR="002923E0" w:rsidRPr="002923E0" w:rsidTr="002923E0">
        <w:trPr>
          <w:tblCellSpacing w:w="15" w:type="dxa"/>
        </w:trPr>
        <w:tc>
          <w:tcPr>
            <w:tcW w:w="267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Pošty a telekomunikace</w:t>
            </w:r>
          </w:p>
        </w:tc>
        <w:tc>
          <w:tcPr>
            <w:tcW w:w="123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c>
          <w:tcPr>
            <w:tcW w:w="201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w:t>
            </w:r>
          </w:p>
        </w:tc>
        <w:tc>
          <w:tcPr>
            <w:tcW w:w="1455"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c>
          <w:tcPr>
            <w:tcW w:w="174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r>
      <w:tr w:rsidR="002923E0" w:rsidRPr="002923E0" w:rsidTr="002923E0">
        <w:trPr>
          <w:tblCellSpacing w:w="15" w:type="dxa"/>
        </w:trPr>
        <w:tc>
          <w:tcPr>
            <w:tcW w:w="267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Pomoc při haváriích</w:t>
            </w:r>
          </w:p>
        </w:tc>
        <w:tc>
          <w:tcPr>
            <w:tcW w:w="123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w:t>
            </w:r>
          </w:p>
        </w:tc>
        <w:tc>
          <w:tcPr>
            <w:tcW w:w="201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c>
          <w:tcPr>
            <w:tcW w:w="1455"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c>
          <w:tcPr>
            <w:tcW w:w="174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w:t>
            </w:r>
          </w:p>
        </w:tc>
      </w:tr>
      <w:tr w:rsidR="002923E0" w:rsidRPr="002923E0" w:rsidTr="002923E0">
        <w:trPr>
          <w:tblCellSpacing w:w="15" w:type="dxa"/>
        </w:trPr>
        <w:tc>
          <w:tcPr>
            <w:tcW w:w="267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Hospodářská pomoc zahraničí</w:t>
            </w:r>
          </w:p>
        </w:tc>
        <w:tc>
          <w:tcPr>
            <w:tcW w:w="123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w:t>
            </w:r>
          </w:p>
        </w:tc>
        <w:tc>
          <w:tcPr>
            <w:tcW w:w="201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c>
          <w:tcPr>
            <w:tcW w:w="1455"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c>
          <w:tcPr>
            <w:tcW w:w="174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w:t>
            </w:r>
          </w:p>
        </w:tc>
      </w:tr>
      <w:tr w:rsidR="002923E0" w:rsidRPr="002923E0" w:rsidTr="002923E0">
        <w:trPr>
          <w:tblCellSpacing w:w="15" w:type="dxa"/>
        </w:trPr>
        <w:tc>
          <w:tcPr>
            <w:tcW w:w="267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Náboženství</w:t>
            </w:r>
          </w:p>
        </w:tc>
        <w:tc>
          <w:tcPr>
            <w:tcW w:w="123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w:t>
            </w:r>
          </w:p>
        </w:tc>
        <w:tc>
          <w:tcPr>
            <w:tcW w:w="201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c>
          <w:tcPr>
            <w:tcW w:w="1455"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X</w:t>
            </w:r>
          </w:p>
        </w:tc>
        <w:tc>
          <w:tcPr>
            <w:tcW w:w="1740" w:type="dxa"/>
            <w:tcBorders>
              <w:top w:val="outset" w:sz="6" w:space="0" w:color="auto"/>
              <w:left w:val="outset" w:sz="6" w:space="0" w:color="auto"/>
              <w:bottom w:val="outset" w:sz="6" w:space="0" w:color="auto"/>
              <w:right w:val="outset" w:sz="6" w:space="0" w:color="auto"/>
            </w:tcBorders>
            <w:hideMark/>
          </w:tcPr>
          <w:p w:rsidR="002923E0" w:rsidRPr="002923E0" w:rsidRDefault="002923E0" w:rsidP="002923E0">
            <w:pPr>
              <w:spacing w:after="0"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w:t>
            </w:r>
          </w:p>
        </w:tc>
      </w:tr>
    </w:tbl>
    <w:p w:rsidR="002923E0" w:rsidRP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 xml:space="preserve">V systému národních účtů (SNA) z roku 1993 jsou používaná kritéria třídění podle „účelu" a „funkce" vzájemně zaměnitelná (třídění podle „předmětu" bylo použito v </w:t>
      </w:r>
      <w:proofErr w:type="gramStart"/>
      <w:r w:rsidRPr="002923E0">
        <w:rPr>
          <w:rFonts w:ascii="Arial" w:eastAsia="Times New Roman" w:hAnsi="Arial" w:cs="Arial"/>
          <w:color w:val="000000"/>
          <w:sz w:val="20"/>
          <w:szCs w:val="20"/>
          <w:lang w:eastAsia="cs-CZ"/>
        </w:rPr>
        <w:t>SNA</w:t>
      </w:r>
      <w:proofErr w:type="gramEnd"/>
      <w:r w:rsidRPr="002923E0">
        <w:rPr>
          <w:rFonts w:ascii="Arial" w:eastAsia="Times New Roman" w:hAnsi="Arial" w:cs="Arial"/>
          <w:color w:val="000000"/>
          <w:sz w:val="20"/>
          <w:szCs w:val="20"/>
          <w:lang w:eastAsia="cs-CZ"/>
        </w:rPr>
        <w:t xml:space="preserve"> z roku 1968). Tato tři kritéria třídění slouží k vyjádření stejného významu - tj. sociálně-ekonomických cílů, které chtějí vybrané jednotky dosáhnout prostř</w:t>
      </w:r>
      <w:r>
        <w:rPr>
          <w:rFonts w:ascii="Arial" w:eastAsia="Times New Roman" w:hAnsi="Arial" w:cs="Arial"/>
          <w:color w:val="000000"/>
          <w:sz w:val="20"/>
          <w:szCs w:val="20"/>
          <w:lang w:eastAsia="cs-CZ"/>
        </w:rPr>
        <w:t>ednictvím různých druhů výdajů.</w:t>
      </w:r>
    </w:p>
    <w:p w:rsidR="002923E0" w:rsidRP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b/>
          <w:bCs/>
          <w:color w:val="000000"/>
          <w:sz w:val="20"/>
          <w:szCs w:val="20"/>
          <w:lang w:eastAsia="cs-CZ"/>
        </w:rPr>
        <w:lastRenderedPageBreak/>
        <w:t>Vysvětlivky ke klasifikaci CZ-COPNI</w:t>
      </w:r>
    </w:p>
    <w:p w:rsidR="002923E0" w:rsidRP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Vysvětlivky ke klasifikaci CZ-COPNI (uvedené v části IV.) pro snazší orientaci při zatřiďování obsahují věcné a adresné definiční vymezení až do hloubky tříd klasifikace (4 místa). Výčet služeb nemusí být všude vyčerpávající, ale jasně určuje, kam příbuzné</w:t>
      </w:r>
      <w:r>
        <w:rPr>
          <w:rFonts w:ascii="Arial" w:eastAsia="Times New Roman" w:hAnsi="Arial" w:cs="Arial"/>
          <w:color w:val="000000"/>
          <w:sz w:val="20"/>
          <w:szCs w:val="20"/>
          <w:lang w:eastAsia="cs-CZ"/>
        </w:rPr>
        <w:t>, neuvedené služby patří.</w:t>
      </w:r>
    </w:p>
    <w:p w:rsidR="002923E0" w:rsidRPr="002923E0" w:rsidRDefault="002923E0" w:rsidP="002923E0">
      <w:p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b/>
          <w:bCs/>
          <w:color w:val="000000"/>
          <w:sz w:val="20"/>
          <w:szCs w:val="20"/>
          <w:lang w:eastAsia="cs-CZ"/>
        </w:rPr>
        <w:t>Přehled oddílů klasifikace CZ-COPNI</w:t>
      </w:r>
    </w:p>
    <w:p w:rsidR="002923E0" w:rsidRPr="002923E0" w:rsidRDefault="002923E0" w:rsidP="002923E0">
      <w:pPr>
        <w:numPr>
          <w:ilvl w:val="0"/>
          <w:numId w:val="2"/>
        </w:numPr>
        <w:spacing w:before="100" w:beforeAutospacing="1" w:after="100" w:afterAutospacing="1" w:line="240" w:lineRule="auto"/>
        <w:jc w:val="both"/>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t>Bydlení</w:t>
      </w:r>
    </w:p>
    <w:p w:rsidR="002923E0" w:rsidRPr="002923E0" w:rsidRDefault="002923E0" w:rsidP="002923E0">
      <w:pPr>
        <w:numPr>
          <w:ilvl w:val="0"/>
          <w:numId w:val="2"/>
        </w:numPr>
        <w:spacing w:before="100" w:beforeAutospacing="1" w:after="100" w:afterAutospacing="1" w:line="240" w:lineRule="auto"/>
        <w:jc w:val="both"/>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t>Zdraví</w:t>
      </w:r>
    </w:p>
    <w:p w:rsidR="002923E0" w:rsidRPr="002923E0" w:rsidRDefault="002923E0" w:rsidP="002923E0">
      <w:pPr>
        <w:numPr>
          <w:ilvl w:val="0"/>
          <w:numId w:val="2"/>
        </w:numPr>
        <w:spacing w:before="100" w:beforeAutospacing="1" w:after="100" w:afterAutospacing="1" w:line="240" w:lineRule="auto"/>
        <w:jc w:val="both"/>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t>Rekreace a kultura</w:t>
      </w:r>
    </w:p>
    <w:p w:rsidR="002923E0" w:rsidRPr="002923E0" w:rsidRDefault="002923E0" w:rsidP="002923E0">
      <w:pPr>
        <w:numPr>
          <w:ilvl w:val="0"/>
          <w:numId w:val="2"/>
        </w:numPr>
        <w:spacing w:before="100" w:beforeAutospacing="1" w:after="100" w:afterAutospacing="1" w:line="240" w:lineRule="auto"/>
        <w:jc w:val="both"/>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t>Vzdělávání</w:t>
      </w:r>
    </w:p>
    <w:p w:rsidR="002923E0" w:rsidRPr="002923E0" w:rsidRDefault="002923E0" w:rsidP="002923E0">
      <w:pPr>
        <w:numPr>
          <w:ilvl w:val="0"/>
          <w:numId w:val="2"/>
        </w:numPr>
        <w:spacing w:before="100" w:beforeAutospacing="1" w:after="100" w:afterAutospacing="1" w:line="240" w:lineRule="auto"/>
        <w:jc w:val="both"/>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t>Sociální péče</w:t>
      </w:r>
    </w:p>
    <w:p w:rsidR="002923E0" w:rsidRPr="002923E0" w:rsidRDefault="002923E0" w:rsidP="002923E0">
      <w:pPr>
        <w:numPr>
          <w:ilvl w:val="0"/>
          <w:numId w:val="2"/>
        </w:numPr>
        <w:spacing w:before="100" w:beforeAutospacing="1" w:after="100" w:afterAutospacing="1" w:line="240" w:lineRule="auto"/>
        <w:jc w:val="both"/>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t>Náboženství</w:t>
      </w:r>
    </w:p>
    <w:p w:rsidR="002923E0" w:rsidRPr="002923E0" w:rsidRDefault="002923E0" w:rsidP="002923E0">
      <w:pPr>
        <w:numPr>
          <w:ilvl w:val="0"/>
          <w:numId w:val="2"/>
        </w:num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Politické strany,</w:t>
      </w:r>
      <w:r>
        <w:rPr>
          <w:rFonts w:ascii="Arial" w:eastAsia="Times New Roman" w:hAnsi="Arial" w:cs="Arial"/>
          <w:color w:val="000000"/>
          <w:sz w:val="20"/>
          <w:szCs w:val="20"/>
          <w:lang w:eastAsia="cs-CZ"/>
        </w:rPr>
        <w:t xml:space="preserve"> odborové a profesní organizace</w:t>
      </w:r>
    </w:p>
    <w:p w:rsidR="002923E0" w:rsidRPr="002923E0" w:rsidRDefault="002923E0" w:rsidP="002923E0">
      <w:pPr>
        <w:numPr>
          <w:ilvl w:val="0"/>
          <w:numId w:val="2"/>
        </w:numPr>
        <w:spacing w:before="100" w:beforeAutospacing="1" w:after="100" w:afterAutospacing="1" w:line="240" w:lineRule="auto"/>
        <w:jc w:val="both"/>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t>Ochrana životního prostředí</w:t>
      </w:r>
    </w:p>
    <w:p w:rsidR="002923E0" w:rsidRDefault="002923E0" w:rsidP="002923E0">
      <w:pPr>
        <w:numPr>
          <w:ilvl w:val="0"/>
          <w:numId w:val="2"/>
        </w:numPr>
        <w:spacing w:before="100" w:beforeAutospacing="1" w:after="100" w:afterAutospacing="1" w:line="240" w:lineRule="auto"/>
        <w:jc w:val="both"/>
        <w:rPr>
          <w:rFonts w:ascii="Arial" w:eastAsia="Times New Roman" w:hAnsi="Arial" w:cs="Arial"/>
          <w:color w:val="000000"/>
          <w:sz w:val="20"/>
          <w:szCs w:val="20"/>
          <w:lang w:eastAsia="cs-CZ"/>
        </w:rPr>
      </w:pPr>
      <w:r w:rsidRPr="002923E0">
        <w:rPr>
          <w:rFonts w:ascii="Arial" w:eastAsia="Times New Roman" w:hAnsi="Arial" w:cs="Arial"/>
          <w:color w:val="000000"/>
          <w:sz w:val="20"/>
          <w:szCs w:val="20"/>
          <w:lang w:eastAsia="cs-CZ"/>
        </w:rPr>
        <w:t>Služby jinde neuvedené</w:t>
      </w:r>
    </w:p>
    <w:p w:rsidR="002923E0" w:rsidRDefault="002923E0" w:rsidP="002923E0">
      <w:pPr>
        <w:spacing w:before="100" w:beforeAutospacing="1" w:after="100" w:afterAutospacing="1" w:line="240" w:lineRule="auto"/>
        <w:ind w:left="720"/>
        <w:jc w:val="both"/>
        <w:rPr>
          <w:rFonts w:ascii="Arial" w:eastAsia="Times New Roman" w:hAnsi="Arial" w:cs="Arial"/>
          <w:color w:val="000000"/>
          <w:sz w:val="20"/>
          <w:szCs w:val="20"/>
          <w:lang w:eastAsia="cs-CZ"/>
        </w:rPr>
      </w:pPr>
    </w:p>
    <w:p w:rsidR="002923E0" w:rsidRDefault="002923E0" w:rsidP="002923E0">
      <w:pPr>
        <w:spacing w:before="100" w:beforeAutospacing="1" w:after="100" w:afterAutospacing="1" w:line="240" w:lineRule="auto"/>
        <w:ind w:left="720"/>
        <w:jc w:val="both"/>
        <w:rPr>
          <w:rFonts w:ascii="Arial" w:eastAsia="Times New Roman" w:hAnsi="Arial" w:cs="Arial"/>
          <w:color w:val="000000"/>
          <w:sz w:val="20"/>
          <w:szCs w:val="20"/>
          <w:lang w:eastAsia="cs-CZ"/>
        </w:rPr>
      </w:pPr>
    </w:p>
    <w:p w:rsidR="002923E0" w:rsidRDefault="002923E0" w:rsidP="002923E0">
      <w:pPr>
        <w:spacing w:before="100" w:beforeAutospacing="1" w:after="100" w:afterAutospacing="1" w:line="240" w:lineRule="auto"/>
        <w:ind w:left="720"/>
        <w:jc w:val="both"/>
        <w:rPr>
          <w:rFonts w:ascii="Arial" w:eastAsia="Times New Roman" w:hAnsi="Arial" w:cs="Arial"/>
          <w:color w:val="000000"/>
          <w:sz w:val="20"/>
          <w:szCs w:val="20"/>
          <w:lang w:eastAsia="cs-CZ"/>
        </w:rPr>
      </w:pPr>
    </w:p>
    <w:p w:rsidR="002923E0" w:rsidRDefault="002923E0" w:rsidP="002923E0">
      <w:pPr>
        <w:spacing w:before="100" w:beforeAutospacing="1" w:after="100" w:afterAutospacing="1" w:line="240" w:lineRule="auto"/>
        <w:ind w:left="720"/>
        <w:jc w:val="both"/>
        <w:rPr>
          <w:rFonts w:ascii="Arial" w:eastAsia="Times New Roman" w:hAnsi="Arial" w:cs="Arial"/>
          <w:color w:val="000000"/>
          <w:sz w:val="20"/>
          <w:szCs w:val="20"/>
          <w:lang w:eastAsia="cs-CZ"/>
        </w:rPr>
      </w:pPr>
    </w:p>
    <w:p w:rsidR="002923E0" w:rsidRDefault="002923E0" w:rsidP="002923E0">
      <w:pPr>
        <w:spacing w:before="100" w:beforeAutospacing="1" w:after="100" w:afterAutospacing="1" w:line="240" w:lineRule="auto"/>
        <w:ind w:left="720"/>
        <w:jc w:val="both"/>
        <w:rPr>
          <w:rFonts w:ascii="Arial" w:eastAsia="Times New Roman" w:hAnsi="Arial" w:cs="Arial"/>
          <w:color w:val="000000"/>
          <w:sz w:val="20"/>
          <w:szCs w:val="20"/>
          <w:lang w:eastAsia="cs-CZ"/>
        </w:rPr>
      </w:pPr>
    </w:p>
    <w:p w:rsidR="002923E0" w:rsidRDefault="002923E0" w:rsidP="002923E0">
      <w:pPr>
        <w:spacing w:before="100" w:beforeAutospacing="1" w:after="100" w:afterAutospacing="1" w:line="240" w:lineRule="auto"/>
        <w:ind w:left="720"/>
        <w:jc w:val="both"/>
        <w:rPr>
          <w:rFonts w:ascii="Arial" w:eastAsia="Times New Roman" w:hAnsi="Arial" w:cs="Arial"/>
          <w:color w:val="000000"/>
          <w:sz w:val="20"/>
          <w:szCs w:val="20"/>
          <w:lang w:eastAsia="cs-CZ"/>
        </w:rPr>
      </w:pPr>
    </w:p>
    <w:p w:rsidR="002923E0" w:rsidRDefault="002923E0" w:rsidP="002923E0">
      <w:pPr>
        <w:spacing w:before="100" w:beforeAutospacing="1" w:after="100" w:afterAutospacing="1" w:line="240" w:lineRule="auto"/>
        <w:ind w:left="720"/>
        <w:jc w:val="both"/>
        <w:rPr>
          <w:rFonts w:ascii="Arial" w:eastAsia="Times New Roman" w:hAnsi="Arial" w:cs="Arial"/>
          <w:color w:val="000000"/>
          <w:sz w:val="20"/>
          <w:szCs w:val="20"/>
          <w:lang w:eastAsia="cs-CZ"/>
        </w:rPr>
      </w:pPr>
    </w:p>
    <w:p w:rsidR="002923E0" w:rsidRDefault="002923E0" w:rsidP="002923E0">
      <w:pPr>
        <w:spacing w:before="100" w:beforeAutospacing="1" w:after="100" w:afterAutospacing="1" w:line="240" w:lineRule="auto"/>
        <w:ind w:left="720"/>
        <w:jc w:val="both"/>
        <w:rPr>
          <w:rFonts w:ascii="Arial" w:eastAsia="Times New Roman" w:hAnsi="Arial" w:cs="Arial"/>
          <w:color w:val="000000"/>
          <w:sz w:val="20"/>
          <w:szCs w:val="20"/>
          <w:lang w:eastAsia="cs-CZ"/>
        </w:rPr>
      </w:pPr>
    </w:p>
    <w:p w:rsidR="002923E0" w:rsidRDefault="002923E0" w:rsidP="002923E0">
      <w:pPr>
        <w:spacing w:before="100" w:beforeAutospacing="1" w:after="100" w:afterAutospacing="1" w:line="240" w:lineRule="auto"/>
        <w:ind w:left="720"/>
        <w:jc w:val="both"/>
        <w:rPr>
          <w:rFonts w:ascii="Arial" w:eastAsia="Times New Roman" w:hAnsi="Arial" w:cs="Arial"/>
          <w:color w:val="000000"/>
          <w:sz w:val="20"/>
          <w:szCs w:val="20"/>
          <w:lang w:eastAsia="cs-CZ"/>
        </w:rPr>
      </w:pPr>
    </w:p>
    <w:p w:rsidR="002923E0" w:rsidRDefault="002923E0" w:rsidP="002923E0">
      <w:pPr>
        <w:spacing w:before="100" w:beforeAutospacing="1" w:after="100" w:afterAutospacing="1" w:line="240" w:lineRule="auto"/>
        <w:ind w:left="720"/>
        <w:jc w:val="both"/>
        <w:rPr>
          <w:rFonts w:ascii="Arial" w:eastAsia="Times New Roman" w:hAnsi="Arial" w:cs="Arial"/>
          <w:color w:val="000000"/>
          <w:sz w:val="20"/>
          <w:szCs w:val="20"/>
          <w:lang w:eastAsia="cs-CZ"/>
        </w:rPr>
      </w:pPr>
    </w:p>
    <w:p w:rsidR="002923E0" w:rsidRDefault="002923E0" w:rsidP="002923E0">
      <w:pPr>
        <w:spacing w:before="100" w:beforeAutospacing="1" w:after="100" w:afterAutospacing="1" w:line="240" w:lineRule="auto"/>
        <w:ind w:left="720"/>
        <w:jc w:val="both"/>
        <w:rPr>
          <w:rFonts w:ascii="Arial" w:eastAsia="Times New Roman" w:hAnsi="Arial" w:cs="Arial"/>
          <w:color w:val="000000"/>
          <w:sz w:val="20"/>
          <w:szCs w:val="20"/>
          <w:lang w:eastAsia="cs-CZ"/>
        </w:rPr>
      </w:pPr>
    </w:p>
    <w:p w:rsidR="002923E0" w:rsidRPr="002923E0" w:rsidRDefault="002923E0" w:rsidP="002923E0">
      <w:pPr>
        <w:spacing w:after="120" w:line="240" w:lineRule="auto"/>
        <w:jc w:val="both"/>
        <w:rPr>
          <w:rFonts w:ascii="Arial" w:eastAsia="Times New Roman" w:hAnsi="Arial" w:cs="Arial"/>
          <w:color w:val="000000"/>
          <w:sz w:val="16"/>
          <w:szCs w:val="16"/>
          <w:lang w:eastAsia="cs-CZ"/>
        </w:rPr>
      </w:pPr>
      <w:r w:rsidRPr="002923E0">
        <w:rPr>
          <w:rFonts w:ascii="Arial" w:eastAsia="Times New Roman" w:hAnsi="Arial" w:cs="Arial"/>
          <w:color w:val="000000"/>
          <w:sz w:val="20"/>
          <w:szCs w:val="20"/>
          <w:vertAlign w:val="superscript"/>
          <w:lang w:eastAsia="cs-CZ"/>
        </w:rPr>
        <w:t>_____________________________________________</w:t>
      </w:r>
      <w:r w:rsidRPr="002923E0">
        <w:rPr>
          <w:rFonts w:ascii="Arial" w:eastAsia="Times New Roman" w:hAnsi="Arial" w:cs="Arial"/>
          <w:color w:val="000000"/>
          <w:sz w:val="20"/>
          <w:szCs w:val="20"/>
          <w:lang w:eastAsia="cs-CZ"/>
        </w:rPr>
        <w:br/>
      </w:r>
      <w:r w:rsidRPr="002923E0">
        <w:rPr>
          <w:rFonts w:ascii="Arial" w:eastAsia="Times New Roman" w:hAnsi="Arial" w:cs="Arial"/>
          <w:color w:val="000000"/>
          <w:sz w:val="16"/>
          <w:szCs w:val="16"/>
          <w:vertAlign w:val="superscript"/>
          <w:lang w:eastAsia="cs-CZ"/>
        </w:rPr>
        <w:t>1)</w:t>
      </w:r>
      <w:r w:rsidRPr="002923E0">
        <w:rPr>
          <w:rFonts w:ascii="Arial" w:eastAsia="Times New Roman" w:hAnsi="Arial" w:cs="Arial"/>
          <w:color w:val="000000"/>
          <w:sz w:val="16"/>
          <w:szCs w:val="16"/>
          <w:lang w:eastAsia="cs-CZ"/>
        </w:rPr>
        <w:t xml:space="preserve"> </w:t>
      </w:r>
      <w:proofErr w:type="spellStart"/>
      <w:r w:rsidRPr="002923E0">
        <w:rPr>
          <w:rFonts w:ascii="Arial" w:eastAsia="Times New Roman" w:hAnsi="Arial" w:cs="Arial"/>
          <w:color w:val="000000"/>
          <w:sz w:val="16"/>
          <w:szCs w:val="16"/>
          <w:lang w:eastAsia="cs-CZ"/>
        </w:rPr>
        <w:t>System</w:t>
      </w:r>
      <w:proofErr w:type="spellEnd"/>
      <w:r w:rsidRPr="002923E0">
        <w:rPr>
          <w:rFonts w:ascii="Arial" w:eastAsia="Times New Roman" w:hAnsi="Arial" w:cs="Arial"/>
          <w:color w:val="000000"/>
          <w:sz w:val="16"/>
          <w:szCs w:val="16"/>
          <w:lang w:eastAsia="cs-CZ"/>
        </w:rPr>
        <w:t xml:space="preserve"> </w:t>
      </w:r>
      <w:proofErr w:type="spellStart"/>
      <w:r w:rsidRPr="002923E0">
        <w:rPr>
          <w:rFonts w:ascii="Arial" w:eastAsia="Times New Roman" w:hAnsi="Arial" w:cs="Arial"/>
          <w:color w:val="000000"/>
          <w:sz w:val="16"/>
          <w:szCs w:val="16"/>
          <w:lang w:eastAsia="cs-CZ"/>
        </w:rPr>
        <w:t>of</w:t>
      </w:r>
      <w:proofErr w:type="spellEnd"/>
      <w:r w:rsidRPr="002923E0">
        <w:rPr>
          <w:rFonts w:ascii="Arial" w:eastAsia="Times New Roman" w:hAnsi="Arial" w:cs="Arial"/>
          <w:color w:val="000000"/>
          <w:sz w:val="16"/>
          <w:szCs w:val="16"/>
          <w:lang w:eastAsia="cs-CZ"/>
        </w:rPr>
        <w:t xml:space="preserve"> </w:t>
      </w:r>
      <w:proofErr w:type="spellStart"/>
      <w:r w:rsidRPr="002923E0">
        <w:rPr>
          <w:rFonts w:ascii="Arial" w:eastAsia="Times New Roman" w:hAnsi="Arial" w:cs="Arial"/>
          <w:color w:val="000000"/>
          <w:sz w:val="16"/>
          <w:szCs w:val="16"/>
          <w:lang w:eastAsia="cs-CZ"/>
        </w:rPr>
        <w:t>National</w:t>
      </w:r>
      <w:proofErr w:type="spellEnd"/>
      <w:r w:rsidRPr="002923E0">
        <w:rPr>
          <w:rFonts w:ascii="Arial" w:eastAsia="Times New Roman" w:hAnsi="Arial" w:cs="Arial"/>
          <w:color w:val="000000"/>
          <w:sz w:val="16"/>
          <w:szCs w:val="16"/>
          <w:lang w:eastAsia="cs-CZ"/>
        </w:rPr>
        <w:t xml:space="preserve"> </w:t>
      </w:r>
      <w:proofErr w:type="spellStart"/>
      <w:r w:rsidRPr="002923E0">
        <w:rPr>
          <w:rFonts w:ascii="Arial" w:eastAsia="Times New Roman" w:hAnsi="Arial" w:cs="Arial"/>
          <w:color w:val="000000"/>
          <w:sz w:val="16"/>
          <w:szCs w:val="16"/>
          <w:lang w:eastAsia="cs-CZ"/>
        </w:rPr>
        <w:t>Accounts</w:t>
      </w:r>
      <w:proofErr w:type="spellEnd"/>
      <w:r w:rsidRPr="002923E0">
        <w:rPr>
          <w:rFonts w:ascii="Arial" w:eastAsia="Times New Roman" w:hAnsi="Arial" w:cs="Arial"/>
          <w:color w:val="000000"/>
          <w:sz w:val="16"/>
          <w:szCs w:val="16"/>
          <w:lang w:eastAsia="cs-CZ"/>
        </w:rPr>
        <w:t xml:space="preserve"> 1993 (Komise Evropského společenství, Mezinárodní měnový fond, Organizace pro hospodářskou spolupráci a rozvoj, Spojené národy, Světová banka).</w:t>
      </w:r>
    </w:p>
    <w:p w:rsidR="002923E0" w:rsidRPr="002923E0" w:rsidRDefault="002923E0" w:rsidP="002923E0">
      <w:pPr>
        <w:spacing w:after="120" w:line="240" w:lineRule="auto"/>
        <w:jc w:val="both"/>
        <w:rPr>
          <w:rFonts w:ascii="Arial" w:eastAsia="Times New Roman" w:hAnsi="Arial" w:cs="Arial"/>
          <w:color w:val="000000"/>
          <w:sz w:val="16"/>
          <w:szCs w:val="16"/>
          <w:lang w:eastAsia="cs-CZ"/>
        </w:rPr>
      </w:pPr>
      <w:r w:rsidRPr="002923E0">
        <w:rPr>
          <w:rFonts w:ascii="Arial" w:eastAsia="Times New Roman" w:hAnsi="Arial" w:cs="Arial"/>
          <w:color w:val="000000"/>
          <w:sz w:val="16"/>
          <w:szCs w:val="16"/>
          <w:vertAlign w:val="superscript"/>
          <w:lang w:eastAsia="cs-CZ"/>
        </w:rPr>
        <w:t>2)</w:t>
      </w:r>
      <w:r w:rsidRPr="002923E0">
        <w:rPr>
          <w:rFonts w:ascii="Arial" w:eastAsia="Times New Roman" w:hAnsi="Arial" w:cs="Arial"/>
          <w:color w:val="000000"/>
          <w:sz w:val="16"/>
          <w:szCs w:val="16"/>
          <w:lang w:eastAsia="cs-CZ"/>
        </w:rPr>
        <w:t xml:space="preserve"> Spotřební výdaje neziskových institucí sloužících domácnostem tzv. výdaje NISD z CZ-COPNI jsou identické s výdaji NPISH standardu COPNI.</w:t>
      </w:r>
    </w:p>
    <w:p w:rsidR="002923E0" w:rsidRPr="002923E0" w:rsidRDefault="002923E0" w:rsidP="002923E0">
      <w:pPr>
        <w:spacing w:after="120" w:line="240" w:lineRule="auto"/>
        <w:jc w:val="both"/>
        <w:rPr>
          <w:rFonts w:ascii="Arial" w:eastAsia="Times New Roman" w:hAnsi="Arial" w:cs="Arial"/>
          <w:color w:val="000000"/>
          <w:sz w:val="16"/>
          <w:szCs w:val="16"/>
          <w:lang w:eastAsia="cs-CZ"/>
        </w:rPr>
      </w:pPr>
      <w:r w:rsidRPr="002923E0">
        <w:rPr>
          <w:rFonts w:ascii="Arial" w:eastAsia="Times New Roman" w:hAnsi="Arial" w:cs="Arial"/>
          <w:color w:val="000000"/>
          <w:sz w:val="16"/>
          <w:szCs w:val="16"/>
          <w:vertAlign w:val="superscript"/>
          <w:lang w:eastAsia="cs-CZ"/>
        </w:rPr>
        <w:t>3)</w:t>
      </w:r>
      <w:r w:rsidRPr="002923E0">
        <w:rPr>
          <w:rFonts w:ascii="Arial" w:eastAsia="Times New Roman" w:hAnsi="Arial" w:cs="Arial"/>
          <w:color w:val="000000"/>
          <w:sz w:val="16"/>
          <w:szCs w:val="16"/>
          <w:lang w:eastAsia="cs-CZ"/>
        </w:rPr>
        <w:t xml:space="preserve"> Klasifikace CZ-COICOP zavedena „Sdělením ČSÚ", částka 160/2003 Sb.</w:t>
      </w:r>
    </w:p>
    <w:p w:rsidR="002923E0" w:rsidRPr="002923E0" w:rsidRDefault="002923E0" w:rsidP="002923E0">
      <w:pPr>
        <w:spacing w:after="120" w:line="240" w:lineRule="auto"/>
        <w:jc w:val="both"/>
        <w:rPr>
          <w:rFonts w:ascii="Arial" w:eastAsia="Times New Roman" w:hAnsi="Arial" w:cs="Arial"/>
          <w:color w:val="000000"/>
          <w:sz w:val="16"/>
          <w:szCs w:val="16"/>
          <w:lang w:eastAsia="cs-CZ"/>
        </w:rPr>
      </w:pPr>
      <w:r w:rsidRPr="002923E0">
        <w:rPr>
          <w:rFonts w:ascii="Arial" w:eastAsia="Times New Roman" w:hAnsi="Arial" w:cs="Arial"/>
          <w:color w:val="000000"/>
          <w:sz w:val="16"/>
          <w:szCs w:val="16"/>
          <w:vertAlign w:val="superscript"/>
          <w:lang w:eastAsia="cs-CZ"/>
        </w:rPr>
        <w:t>4)</w:t>
      </w:r>
      <w:r w:rsidRPr="002923E0">
        <w:rPr>
          <w:rFonts w:ascii="Arial" w:eastAsia="Times New Roman" w:hAnsi="Arial" w:cs="Arial"/>
          <w:color w:val="000000"/>
          <w:sz w:val="16"/>
          <w:szCs w:val="16"/>
          <w:lang w:eastAsia="cs-CZ"/>
        </w:rPr>
        <w:t xml:space="preserve"> Klasifikace CZ-COFOG zavedena „Sdělením ČSÚ", částka 160/2003 Sb.</w:t>
      </w:r>
    </w:p>
    <w:p w:rsidR="002923E0" w:rsidRPr="002923E0" w:rsidRDefault="002923E0" w:rsidP="002923E0">
      <w:pPr>
        <w:spacing w:after="120" w:line="240" w:lineRule="auto"/>
        <w:jc w:val="both"/>
        <w:rPr>
          <w:rFonts w:ascii="Arial" w:eastAsia="Times New Roman" w:hAnsi="Arial" w:cs="Arial"/>
          <w:color w:val="000000"/>
          <w:sz w:val="16"/>
          <w:szCs w:val="16"/>
          <w:lang w:eastAsia="cs-CZ"/>
        </w:rPr>
      </w:pPr>
      <w:r w:rsidRPr="002923E0">
        <w:rPr>
          <w:rFonts w:ascii="Arial" w:eastAsia="Times New Roman" w:hAnsi="Arial" w:cs="Arial"/>
          <w:color w:val="000000"/>
          <w:sz w:val="16"/>
          <w:szCs w:val="16"/>
          <w:vertAlign w:val="superscript"/>
          <w:lang w:eastAsia="cs-CZ"/>
        </w:rPr>
        <w:t>5)</w:t>
      </w:r>
      <w:r w:rsidRPr="002923E0">
        <w:rPr>
          <w:rFonts w:ascii="Arial" w:eastAsia="Times New Roman" w:hAnsi="Arial" w:cs="Arial"/>
          <w:color w:val="000000"/>
          <w:sz w:val="16"/>
          <w:szCs w:val="16"/>
          <w:lang w:eastAsia="cs-CZ"/>
        </w:rPr>
        <w:t xml:space="preserve"> Výdaj na finální spotřebu (P3) není nezbytně součtem cen (P2, D1 a K1) minus tržby z prodeje (P11). Zahrnuje také zboží a</w:t>
      </w:r>
      <w:r>
        <w:rPr>
          <w:rFonts w:ascii="Arial" w:eastAsia="Times New Roman" w:hAnsi="Arial" w:cs="Arial"/>
          <w:color w:val="000000"/>
          <w:sz w:val="16"/>
          <w:szCs w:val="16"/>
          <w:lang w:eastAsia="cs-CZ"/>
        </w:rPr>
        <w:t> </w:t>
      </w:r>
      <w:r w:rsidRPr="002923E0">
        <w:rPr>
          <w:rFonts w:ascii="Arial" w:eastAsia="Times New Roman" w:hAnsi="Arial" w:cs="Arial"/>
          <w:color w:val="000000"/>
          <w:sz w:val="16"/>
          <w:szCs w:val="16"/>
          <w:lang w:eastAsia="cs-CZ"/>
        </w:rPr>
        <w:t xml:space="preserve">služby nakupované NISD od tržních výrobců pro přímou distribuci domácnostem jako sociální transfery v naturálních dávkách. Pokud přitom nedochází k zpracování zboží a dalším službám, jsou takové nákupy považovány za konečný výdaj a nikoliv za </w:t>
      </w:r>
      <w:proofErr w:type="spellStart"/>
      <w:r w:rsidRPr="002923E0">
        <w:rPr>
          <w:rFonts w:ascii="Arial" w:eastAsia="Times New Roman" w:hAnsi="Arial" w:cs="Arial"/>
          <w:color w:val="000000"/>
          <w:sz w:val="16"/>
          <w:szCs w:val="16"/>
          <w:lang w:eastAsia="cs-CZ"/>
        </w:rPr>
        <w:t>mezispotřebu</w:t>
      </w:r>
      <w:proofErr w:type="spellEnd"/>
      <w:r w:rsidRPr="002923E0">
        <w:rPr>
          <w:rFonts w:ascii="Arial" w:eastAsia="Times New Roman" w:hAnsi="Arial" w:cs="Arial"/>
          <w:color w:val="000000"/>
          <w:sz w:val="16"/>
          <w:szCs w:val="16"/>
          <w:lang w:eastAsia="cs-CZ"/>
        </w:rPr>
        <w:t xml:space="preserve">. (Odst. 9.79 SNA z roku 1993). Podrobnosti jsou popsány v </w:t>
      </w:r>
      <w:proofErr w:type="gramStart"/>
      <w:r w:rsidRPr="002923E0">
        <w:rPr>
          <w:rFonts w:ascii="Arial" w:eastAsia="Times New Roman" w:hAnsi="Arial" w:cs="Arial"/>
          <w:color w:val="000000"/>
          <w:sz w:val="16"/>
          <w:szCs w:val="16"/>
          <w:lang w:eastAsia="cs-CZ"/>
        </w:rPr>
        <w:t>SNA</w:t>
      </w:r>
      <w:proofErr w:type="gramEnd"/>
      <w:r w:rsidRPr="002923E0">
        <w:rPr>
          <w:rFonts w:ascii="Arial" w:eastAsia="Times New Roman" w:hAnsi="Arial" w:cs="Arial"/>
          <w:color w:val="000000"/>
          <w:sz w:val="16"/>
          <w:szCs w:val="16"/>
          <w:lang w:eastAsia="cs-CZ"/>
        </w:rPr>
        <w:t xml:space="preserve"> 1993 - v této klasifikaci nejsou rozvedeny.</w:t>
      </w:r>
    </w:p>
    <w:p w:rsidR="002923E0" w:rsidRPr="002923E0" w:rsidRDefault="002923E0" w:rsidP="002923E0">
      <w:pPr>
        <w:spacing w:after="120" w:line="240" w:lineRule="auto"/>
        <w:jc w:val="both"/>
        <w:rPr>
          <w:rFonts w:ascii="Arial" w:eastAsia="Times New Roman" w:hAnsi="Arial" w:cs="Arial"/>
          <w:color w:val="000000"/>
          <w:sz w:val="16"/>
          <w:szCs w:val="16"/>
          <w:lang w:eastAsia="cs-CZ"/>
        </w:rPr>
      </w:pPr>
      <w:r w:rsidRPr="002923E0">
        <w:rPr>
          <w:rFonts w:ascii="Arial" w:eastAsia="Times New Roman" w:hAnsi="Arial" w:cs="Arial"/>
          <w:color w:val="000000"/>
          <w:sz w:val="16"/>
          <w:szCs w:val="16"/>
          <w:vertAlign w:val="superscript"/>
          <w:lang w:eastAsia="cs-CZ"/>
        </w:rPr>
        <w:t>6)</w:t>
      </w:r>
      <w:r w:rsidRPr="002923E0">
        <w:rPr>
          <w:rFonts w:ascii="Arial" w:eastAsia="Times New Roman" w:hAnsi="Arial" w:cs="Arial"/>
          <w:color w:val="000000"/>
          <w:sz w:val="16"/>
          <w:szCs w:val="16"/>
          <w:lang w:eastAsia="cs-CZ"/>
        </w:rPr>
        <w:t xml:space="preserve"> </w:t>
      </w:r>
      <w:proofErr w:type="spellStart"/>
      <w:r w:rsidRPr="002923E0">
        <w:rPr>
          <w:rFonts w:ascii="Arial" w:eastAsia="Times New Roman" w:hAnsi="Arial" w:cs="Arial"/>
          <w:color w:val="000000"/>
          <w:sz w:val="16"/>
          <w:szCs w:val="16"/>
          <w:lang w:eastAsia="cs-CZ"/>
        </w:rPr>
        <w:t>International</w:t>
      </w:r>
      <w:proofErr w:type="spellEnd"/>
      <w:r w:rsidRPr="002923E0">
        <w:rPr>
          <w:rFonts w:ascii="Arial" w:eastAsia="Times New Roman" w:hAnsi="Arial" w:cs="Arial"/>
          <w:color w:val="000000"/>
          <w:sz w:val="16"/>
          <w:szCs w:val="16"/>
          <w:lang w:eastAsia="cs-CZ"/>
        </w:rPr>
        <w:t xml:space="preserve"> Standard </w:t>
      </w:r>
      <w:proofErr w:type="spellStart"/>
      <w:r w:rsidRPr="002923E0">
        <w:rPr>
          <w:rFonts w:ascii="Arial" w:eastAsia="Times New Roman" w:hAnsi="Arial" w:cs="Arial"/>
          <w:color w:val="000000"/>
          <w:sz w:val="16"/>
          <w:szCs w:val="16"/>
          <w:lang w:eastAsia="cs-CZ"/>
        </w:rPr>
        <w:t>Classification</w:t>
      </w:r>
      <w:proofErr w:type="spellEnd"/>
      <w:r w:rsidRPr="002923E0">
        <w:rPr>
          <w:rFonts w:ascii="Arial" w:eastAsia="Times New Roman" w:hAnsi="Arial" w:cs="Arial"/>
          <w:color w:val="000000"/>
          <w:sz w:val="16"/>
          <w:szCs w:val="16"/>
          <w:lang w:eastAsia="cs-CZ"/>
        </w:rPr>
        <w:t xml:space="preserve"> </w:t>
      </w:r>
      <w:proofErr w:type="spellStart"/>
      <w:r w:rsidRPr="002923E0">
        <w:rPr>
          <w:rFonts w:ascii="Arial" w:eastAsia="Times New Roman" w:hAnsi="Arial" w:cs="Arial"/>
          <w:color w:val="000000"/>
          <w:sz w:val="16"/>
          <w:szCs w:val="16"/>
          <w:lang w:eastAsia="cs-CZ"/>
        </w:rPr>
        <w:t>of</w:t>
      </w:r>
      <w:proofErr w:type="spellEnd"/>
      <w:r w:rsidRPr="002923E0">
        <w:rPr>
          <w:rFonts w:ascii="Arial" w:eastAsia="Times New Roman" w:hAnsi="Arial" w:cs="Arial"/>
          <w:color w:val="000000"/>
          <w:sz w:val="16"/>
          <w:szCs w:val="16"/>
          <w:lang w:eastAsia="cs-CZ"/>
        </w:rPr>
        <w:t xml:space="preserve"> </w:t>
      </w:r>
      <w:proofErr w:type="spellStart"/>
      <w:r w:rsidRPr="002923E0">
        <w:rPr>
          <w:rFonts w:ascii="Arial" w:eastAsia="Times New Roman" w:hAnsi="Arial" w:cs="Arial"/>
          <w:color w:val="000000"/>
          <w:sz w:val="16"/>
          <w:szCs w:val="16"/>
          <w:lang w:eastAsia="cs-CZ"/>
        </w:rPr>
        <w:t>Education</w:t>
      </w:r>
      <w:proofErr w:type="spellEnd"/>
      <w:r w:rsidRPr="002923E0">
        <w:rPr>
          <w:rFonts w:ascii="Arial" w:eastAsia="Times New Roman" w:hAnsi="Arial" w:cs="Arial"/>
          <w:color w:val="000000"/>
          <w:sz w:val="16"/>
          <w:szCs w:val="16"/>
          <w:lang w:eastAsia="cs-CZ"/>
        </w:rPr>
        <w:t xml:space="preserve"> z 1997, Organizace Spojených národů pro vzdělání, vědu a kulturu (UNESCO), Paříž, 1997. Překlad této klasifikace do češtiny vypracoval Ústav pro informace ve vzdělávání, Praha 1999.</w:t>
      </w:r>
    </w:p>
    <w:p w:rsidR="002923E0" w:rsidRPr="002923E0" w:rsidRDefault="002923E0" w:rsidP="002923E0">
      <w:pPr>
        <w:spacing w:after="120" w:line="240" w:lineRule="auto"/>
        <w:jc w:val="both"/>
        <w:rPr>
          <w:rFonts w:ascii="Arial" w:eastAsia="Times New Roman" w:hAnsi="Arial" w:cs="Arial"/>
          <w:color w:val="000000"/>
          <w:sz w:val="16"/>
          <w:szCs w:val="16"/>
          <w:lang w:eastAsia="cs-CZ"/>
        </w:rPr>
      </w:pPr>
      <w:r w:rsidRPr="002923E0">
        <w:rPr>
          <w:rFonts w:ascii="Arial" w:eastAsia="Times New Roman" w:hAnsi="Arial" w:cs="Arial"/>
          <w:color w:val="000000"/>
          <w:sz w:val="16"/>
          <w:szCs w:val="16"/>
          <w:vertAlign w:val="superscript"/>
          <w:lang w:eastAsia="cs-CZ"/>
        </w:rPr>
        <w:t>7)</w:t>
      </w:r>
      <w:r w:rsidRPr="002923E0">
        <w:rPr>
          <w:rFonts w:ascii="Arial" w:eastAsia="Times New Roman" w:hAnsi="Arial" w:cs="Arial"/>
          <w:color w:val="000000"/>
          <w:sz w:val="16"/>
          <w:szCs w:val="16"/>
          <w:lang w:eastAsia="cs-CZ"/>
        </w:rPr>
        <w:t xml:space="preserve"> Mezinárodní klasifikace neziskových organizací: ICNPO - Revize I, 1996, </w:t>
      </w:r>
      <w:proofErr w:type="spellStart"/>
      <w:r w:rsidRPr="002923E0">
        <w:rPr>
          <w:rFonts w:ascii="Arial" w:eastAsia="Times New Roman" w:hAnsi="Arial" w:cs="Arial"/>
          <w:color w:val="000000"/>
          <w:sz w:val="16"/>
          <w:szCs w:val="16"/>
          <w:lang w:eastAsia="cs-CZ"/>
        </w:rPr>
        <w:t>Lester</w:t>
      </w:r>
      <w:proofErr w:type="spellEnd"/>
      <w:r w:rsidRPr="002923E0">
        <w:rPr>
          <w:rFonts w:ascii="Arial" w:eastAsia="Times New Roman" w:hAnsi="Arial" w:cs="Arial"/>
          <w:color w:val="000000"/>
          <w:sz w:val="16"/>
          <w:szCs w:val="16"/>
          <w:lang w:eastAsia="cs-CZ"/>
        </w:rPr>
        <w:t xml:space="preserve"> M. </w:t>
      </w:r>
      <w:proofErr w:type="spellStart"/>
      <w:r w:rsidRPr="002923E0">
        <w:rPr>
          <w:rFonts w:ascii="Arial" w:eastAsia="Times New Roman" w:hAnsi="Arial" w:cs="Arial"/>
          <w:color w:val="000000"/>
          <w:sz w:val="16"/>
          <w:szCs w:val="16"/>
          <w:lang w:eastAsia="cs-CZ"/>
        </w:rPr>
        <w:t>Salamon</w:t>
      </w:r>
      <w:proofErr w:type="spellEnd"/>
      <w:r w:rsidRPr="002923E0">
        <w:rPr>
          <w:rFonts w:ascii="Arial" w:eastAsia="Times New Roman" w:hAnsi="Arial" w:cs="Arial"/>
          <w:color w:val="000000"/>
          <w:sz w:val="16"/>
          <w:szCs w:val="16"/>
          <w:lang w:eastAsia="cs-CZ"/>
        </w:rPr>
        <w:t xml:space="preserve"> a </w:t>
      </w:r>
      <w:proofErr w:type="spellStart"/>
      <w:r w:rsidRPr="002923E0">
        <w:rPr>
          <w:rFonts w:ascii="Arial" w:eastAsia="Times New Roman" w:hAnsi="Arial" w:cs="Arial"/>
          <w:color w:val="000000"/>
          <w:sz w:val="16"/>
          <w:szCs w:val="16"/>
          <w:lang w:eastAsia="cs-CZ"/>
        </w:rPr>
        <w:t>Helmu</w:t>
      </w:r>
      <w:r>
        <w:rPr>
          <w:rFonts w:ascii="Arial" w:eastAsia="Times New Roman" w:hAnsi="Arial" w:cs="Arial"/>
          <w:color w:val="000000"/>
          <w:sz w:val="16"/>
          <w:szCs w:val="16"/>
          <w:lang w:eastAsia="cs-CZ"/>
        </w:rPr>
        <w:t>t</w:t>
      </w:r>
      <w:proofErr w:type="spellEnd"/>
      <w:r>
        <w:rPr>
          <w:rFonts w:ascii="Arial" w:eastAsia="Times New Roman" w:hAnsi="Arial" w:cs="Arial"/>
          <w:color w:val="000000"/>
          <w:sz w:val="16"/>
          <w:szCs w:val="16"/>
          <w:lang w:eastAsia="cs-CZ"/>
        </w:rPr>
        <w:t xml:space="preserve"> K. </w:t>
      </w:r>
      <w:proofErr w:type="spellStart"/>
      <w:r>
        <w:rPr>
          <w:rFonts w:ascii="Arial" w:eastAsia="Times New Roman" w:hAnsi="Arial" w:cs="Arial"/>
          <w:color w:val="000000"/>
          <w:sz w:val="16"/>
          <w:szCs w:val="16"/>
          <w:lang w:eastAsia="cs-CZ"/>
        </w:rPr>
        <w:t>Anheier</w:t>
      </w:r>
      <w:proofErr w:type="spellEnd"/>
      <w:r>
        <w:rPr>
          <w:rFonts w:ascii="Arial" w:eastAsia="Times New Roman" w:hAnsi="Arial" w:cs="Arial"/>
          <w:color w:val="000000"/>
          <w:sz w:val="16"/>
          <w:szCs w:val="16"/>
          <w:lang w:eastAsia="cs-CZ"/>
        </w:rPr>
        <w:t>, Pracovní dokument</w:t>
      </w:r>
      <w:r w:rsidRPr="002923E0">
        <w:rPr>
          <w:rFonts w:ascii="Arial" w:eastAsia="Times New Roman" w:hAnsi="Arial" w:cs="Arial"/>
          <w:color w:val="000000"/>
          <w:sz w:val="16"/>
          <w:szCs w:val="16"/>
          <w:lang w:eastAsia="cs-CZ"/>
        </w:rPr>
        <w:t xml:space="preserve"> 19, Institut Univerzity Johna </w:t>
      </w:r>
      <w:proofErr w:type="spellStart"/>
      <w:r w:rsidRPr="002923E0">
        <w:rPr>
          <w:rFonts w:ascii="Arial" w:eastAsia="Times New Roman" w:hAnsi="Arial" w:cs="Arial"/>
          <w:color w:val="000000"/>
          <w:sz w:val="16"/>
          <w:szCs w:val="16"/>
          <w:lang w:eastAsia="cs-CZ"/>
        </w:rPr>
        <w:t>Hopkinse</w:t>
      </w:r>
      <w:proofErr w:type="spellEnd"/>
      <w:r w:rsidRPr="002923E0">
        <w:rPr>
          <w:rFonts w:ascii="Arial" w:eastAsia="Times New Roman" w:hAnsi="Arial" w:cs="Arial"/>
          <w:color w:val="000000"/>
          <w:sz w:val="16"/>
          <w:szCs w:val="16"/>
          <w:lang w:eastAsia="cs-CZ"/>
        </w:rPr>
        <w:t xml:space="preserve"> pro studium řízení, </w:t>
      </w:r>
      <w:proofErr w:type="spellStart"/>
      <w:r w:rsidRPr="002923E0">
        <w:rPr>
          <w:rFonts w:ascii="Arial" w:eastAsia="Times New Roman" w:hAnsi="Arial" w:cs="Arial"/>
          <w:color w:val="000000"/>
          <w:sz w:val="16"/>
          <w:szCs w:val="16"/>
          <w:lang w:eastAsia="cs-CZ"/>
        </w:rPr>
        <w:t>Baltimor</w:t>
      </w:r>
      <w:proofErr w:type="spellEnd"/>
      <w:r w:rsidRPr="002923E0">
        <w:rPr>
          <w:rFonts w:ascii="Arial" w:eastAsia="Times New Roman" w:hAnsi="Arial" w:cs="Arial"/>
          <w:color w:val="000000"/>
          <w:sz w:val="16"/>
          <w:szCs w:val="16"/>
          <w:lang w:eastAsia="cs-CZ"/>
        </w:rPr>
        <w:t>, USA, červen 1996.</w:t>
      </w:r>
    </w:p>
    <w:p w:rsidR="00D83A91" w:rsidRPr="002923E0" w:rsidRDefault="002923E0" w:rsidP="002923E0">
      <w:pPr>
        <w:spacing w:after="120" w:line="240" w:lineRule="auto"/>
        <w:jc w:val="both"/>
        <w:rPr>
          <w:rFonts w:ascii="Arial" w:hAnsi="Arial" w:cs="Arial"/>
          <w:sz w:val="16"/>
          <w:szCs w:val="16"/>
        </w:rPr>
      </w:pPr>
      <w:r w:rsidRPr="002923E0">
        <w:rPr>
          <w:rFonts w:ascii="Arial" w:eastAsia="Times New Roman" w:hAnsi="Arial" w:cs="Arial"/>
          <w:color w:val="000000"/>
          <w:sz w:val="16"/>
          <w:szCs w:val="16"/>
          <w:vertAlign w:val="superscript"/>
          <w:lang w:eastAsia="cs-CZ"/>
        </w:rPr>
        <w:t>8)</w:t>
      </w:r>
      <w:r w:rsidRPr="002923E0">
        <w:rPr>
          <w:rFonts w:ascii="Arial" w:eastAsia="Times New Roman" w:hAnsi="Arial" w:cs="Arial"/>
          <w:color w:val="000000"/>
          <w:sz w:val="16"/>
          <w:szCs w:val="16"/>
          <w:lang w:eastAsia="cs-CZ"/>
        </w:rPr>
        <w:t xml:space="preserve"> Definice institucionálních sektorů, pro které jsou funkční klasifikace vytvářeny, jsou uvedeny v </w:t>
      </w:r>
      <w:proofErr w:type="gramStart"/>
      <w:r w:rsidRPr="002923E0">
        <w:rPr>
          <w:rFonts w:ascii="Arial" w:eastAsia="Times New Roman" w:hAnsi="Arial" w:cs="Arial"/>
          <w:color w:val="000000"/>
          <w:sz w:val="16"/>
          <w:szCs w:val="16"/>
          <w:lang w:eastAsia="cs-CZ"/>
        </w:rPr>
        <w:t>SNA</w:t>
      </w:r>
      <w:proofErr w:type="gramEnd"/>
      <w:r w:rsidRPr="002923E0">
        <w:rPr>
          <w:rFonts w:ascii="Arial" w:eastAsia="Times New Roman" w:hAnsi="Arial" w:cs="Arial"/>
          <w:color w:val="000000"/>
          <w:sz w:val="16"/>
          <w:szCs w:val="16"/>
          <w:lang w:eastAsia="cs-CZ"/>
        </w:rPr>
        <w:t xml:space="preserve"> z roku 1993 a nejsou v</w:t>
      </w:r>
      <w:r>
        <w:rPr>
          <w:rFonts w:ascii="Arial" w:eastAsia="Times New Roman" w:hAnsi="Arial" w:cs="Arial"/>
          <w:color w:val="000000"/>
          <w:sz w:val="16"/>
          <w:szCs w:val="16"/>
          <w:lang w:eastAsia="cs-CZ"/>
        </w:rPr>
        <w:t> </w:t>
      </w:r>
      <w:r w:rsidRPr="002923E0">
        <w:rPr>
          <w:rFonts w:ascii="Arial" w:eastAsia="Times New Roman" w:hAnsi="Arial" w:cs="Arial"/>
          <w:color w:val="000000"/>
          <w:sz w:val="16"/>
          <w:szCs w:val="16"/>
          <w:lang w:eastAsia="cs-CZ"/>
        </w:rPr>
        <w:t xml:space="preserve">této klasifikaci uvedeny; nebo viz Číselník institucionálních sektorů a </w:t>
      </w:r>
      <w:proofErr w:type="spellStart"/>
      <w:r w:rsidRPr="002923E0">
        <w:rPr>
          <w:rFonts w:ascii="Arial" w:eastAsia="Times New Roman" w:hAnsi="Arial" w:cs="Arial"/>
          <w:color w:val="000000"/>
          <w:sz w:val="16"/>
          <w:szCs w:val="16"/>
          <w:lang w:eastAsia="cs-CZ"/>
        </w:rPr>
        <w:t>subsektorů</w:t>
      </w:r>
      <w:proofErr w:type="spellEnd"/>
      <w:r w:rsidRPr="002923E0">
        <w:rPr>
          <w:rFonts w:ascii="Arial" w:eastAsia="Times New Roman" w:hAnsi="Arial" w:cs="Arial"/>
          <w:color w:val="000000"/>
          <w:sz w:val="16"/>
          <w:szCs w:val="16"/>
          <w:lang w:eastAsia="cs-CZ"/>
        </w:rPr>
        <w:t xml:space="preserve"> (Sdělení ČSÚ, částka 160/2003 Sb.).</w:t>
      </w:r>
    </w:p>
    <w:sectPr w:rsidR="00D83A91" w:rsidRPr="002923E0" w:rsidSect="007E77D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alt="http://www.czso.cz/icons/ecblank.gif" style="width:12.15pt;height:.5pt;visibility:visible;mso-wrap-style:square" o:bullet="t">
        <v:imagedata r:id="rId1" o:title="ecblank"/>
      </v:shape>
    </w:pict>
  </w:numPicBullet>
  <w:abstractNum w:abstractNumId="0">
    <w:nsid w:val="040B450A"/>
    <w:multiLevelType w:val="hybridMultilevel"/>
    <w:tmpl w:val="C0B42A70"/>
    <w:lvl w:ilvl="0" w:tplc="92A4048A">
      <w:start w:val="1"/>
      <w:numFmt w:val="bullet"/>
      <w:lvlText w:val=""/>
      <w:lvlPicBulletId w:val="0"/>
      <w:lvlJc w:val="left"/>
      <w:pPr>
        <w:tabs>
          <w:tab w:val="num" w:pos="720"/>
        </w:tabs>
        <w:ind w:left="720" w:hanging="360"/>
      </w:pPr>
      <w:rPr>
        <w:rFonts w:ascii="Symbol" w:hAnsi="Symbol" w:hint="default"/>
      </w:rPr>
    </w:lvl>
    <w:lvl w:ilvl="1" w:tplc="75D4BB34" w:tentative="1">
      <w:start w:val="1"/>
      <w:numFmt w:val="bullet"/>
      <w:lvlText w:val=""/>
      <w:lvlJc w:val="left"/>
      <w:pPr>
        <w:tabs>
          <w:tab w:val="num" w:pos="1440"/>
        </w:tabs>
        <w:ind w:left="1440" w:hanging="360"/>
      </w:pPr>
      <w:rPr>
        <w:rFonts w:ascii="Symbol" w:hAnsi="Symbol" w:hint="default"/>
      </w:rPr>
    </w:lvl>
    <w:lvl w:ilvl="2" w:tplc="3C96A820" w:tentative="1">
      <w:start w:val="1"/>
      <w:numFmt w:val="bullet"/>
      <w:lvlText w:val=""/>
      <w:lvlJc w:val="left"/>
      <w:pPr>
        <w:tabs>
          <w:tab w:val="num" w:pos="2160"/>
        </w:tabs>
        <w:ind w:left="2160" w:hanging="360"/>
      </w:pPr>
      <w:rPr>
        <w:rFonts w:ascii="Symbol" w:hAnsi="Symbol" w:hint="default"/>
      </w:rPr>
    </w:lvl>
    <w:lvl w:ilvl="3" w:tplc="67BC23DE" w:tentative="1">
      <w:start w:val="1"/>
      <w:numFmt w:val="bullet"/>
      <w:lvlText w:val=""/>
      <w:lvlJc w:val="left"/>
      <w:pPr>
        <w:tabs>
          <w:tab w:val="num" w:pos="2880"/>
        </w:tabs>
        <w:ind w:left="2880" w:hanging="360"/>
      </w:pPr>
      <w:rPr>
        <w:rFonts w:ascii="Symbol" w:hAnsi="Symbol" w:hint="default"/>
      </w:rPr>
    </w:lvl>
    <w:lvl w:ilvl="4" w:tplc="6C84680E" w:tentative="1">
      <w:start w:val="1"/>
      <w:numFmt w:val="bullet"/>
      <w:lvlText w:val=""/>
      <w:lvlJc w:val="left"/>
      <w:pPr>
        <w:tabs>
          <w:tab w:val="num" w:pos="3600"/>
        </w:tabs>
        <w:ind w:left="3600" w:hanging="360"/>
      </w:pPr>
      <w:rPr>
        <w:rFonts w:ascii="Symbol" w:hAnsi="Symbol" w:hint="default"/>
      </w:rPr>
    </w:lvl>
    <w:lvl w:ilvl="5" w:tplc="81EA6B30" w:tentative="1">
      <w:start w:val="1"/>
      <w:numFmt w:val="bullet"/>
      <w:lvlText w:val=""/>
      <w:lvlJc w:val="left"/>
      <w:pPr>
        <w:tabs>
          <w:tab w:val="num" w:pos="4320"/>
        </w:tabs>
        <w:ind w:left="4320" w:hanging="360"/>
      </w:pPr>
      <w:rPr>
        <w:rFonts w:ascii="Symbol" w:hAnsi="Symbol" w:hint="default"/>
      </w:rPr>
    </w:lvl>
    <w:lvl w:ilvl="6" w:tplc="7B9CB420" w:tentative="1">
      <w:start w:val="1"/>
      <w:numFmt w:val="bullet"/>
      <w:lvlText w:val=""/>
      <w:lvlJc w:val="left"/>
      <w:pPr>
        <w:tabs>
          <w:tab w:val="num" w:pos="5040"/>
        </w:tabs>
        <w:ind w:left="5040" w:hanging="360"/>
      </w:pPr>
      <w:rPr>
        <w:rFonts w:ascii="Symbol" w:hAnsi="Symbol" w:hint="default"/>
      </w:rPr>
    </w:lvl>
    <w:lvl w:ilvl="7" w:tplc="E7B0114C" w:tentative="1">
      <w:start w:val="1"/>
      <w:numFmt w:val="bullet"/>
      <w:lvlText w:val=""/>
      <w:lvlJc w:val="left"/>
      <w:pPr>
        <w:tabs>
          <w:tab w:val="num" w:pos="5760"/>
        </w:tabs>
        <w:ind w:left="5760" w:hanging="360"/>
      </w:pPr>
      <w:rPr>
        <w:rFonts w:ascii="Symbol" w:hAnsi="Symbol" w:hint="default"/>
      </w:rPr>
    </w:lvl>
    <w:lvl w:ilvl="8" w:tplc="E8209526" w:tentative="1">
      <w:start w:val="1"/>
      <w:numFmt w:val="bullet"/>
      <w:lvlText w:val=""/>
      <w:lvlJc w:val="left"/>
      <w:pPr>
        <w:tabs>
          <w:tab w:val="num" w:pos="6480"/>
        </w:tabs>
        <w:ind w:left="6480" w:hanging="360"/>
      </w:pPr>
      <w:rPr>
        <w:rFonts w:ascii="Symbol" w:hAnsi="Symbol" w:hint="default"/>
      </w:rPr>
    </w:lvl>
  </w:abstractNum>
  <w:abstractNum w:abstractNumId="1">
    <w:nsid w:val="0AD07F0A"/>
    <w:multiLevelType w:val="multilevel"/>
    <w:tmpl w:val="BD700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1C35305"/>
    <w:multiLevelType w:val="multilevel"/>
    <w:tmpl w:val="54F21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proofState w:spelling="clean" w:grammar="clean"/>
  <w:defaultTabStop w:val="708"/>
  <w:hyphenationZone w:val="425"/>
  <w:characterSpacingControl w:val="doNotCompress"/>
  <w:compat/>
  <w:rsids>
    <w:rsidRoot w:val="00D83A91"/>
    <w:rsid w:val="000B28D5"/>
    <w:rsid w:val="002923E0"/>
    <w:rsid w:val="00546FD0"/>
    <w:rsid w:val="005B62FB"/>
    <w:rsid w:val="007E5285"/>
    <w:rsid w:val="007E77DF"/>
    <w:rsid w:val="008F7731"/>
    <w:rsid w:val="009670D3"/>
    <w:rsid w:val="00CF2AB6"/>
    <w:rsid w:val="00D83A9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E77DF"/>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D83A91"/>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styleId="Textbubliny">
    <w:name w:val="Balloon Text"/>
    <w:basedOn w:val="Normln"/>
    <w:link w:val="TextbublinyChar"/>
    <w:uiPriority w:val="99"/>
    <w:semiHidden/>
    <w:unhideWhenUsed/>
    <w:rsid w:val="002923E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923E0"/>
    <w:rPr>
      <w:rFonts w:ascii="Tahoma" w:hAnsi="Tahoma" w:cs="Tahoma"/>
      <w:sz w:val="16"/>
      <w:szCs w:val="16"/>
    </w:rPr>
  </w:style>
  <w:style w:type="paragraph" w:styleId="Odstavecseseznamem">
    <w:name w:val="List Paragraph"/>
    <w:basedOn w:val="Normln"/>
    <w:uiPriority w:val="34"/>
    <w:qFormat/>
    <w:rsid w:val="002923E0"/>
    <w:pPr>
      <w:ind w:left="720"/>
      <w:contextualSpacing/>
    </w:pPr>
  </w:style>
</w:styles>
</file>

<file path=word/webSettings.xml><?xml version="1.0" encoding="utf-8"?>
<w:webSettings xmlns:r="http://schemas.openxmlformats.org/officeDocument/2006/relationships" xmlns:w="http://schemas.openxmlformats.org/wordprocessingml/2006/main">
  <w:divs>
    <w:div w:id="1016426114">
      <w:bodyDiv w:val="1"/>
      <w:marLeft w:val="0"/>
      <w:marRight w:val="0"/>
      <w:marTop w:val="0"/>
      <w:marBottom w:val="0"/>
      <w:divBdr>
        <w:top w:val="none" w:sz="0" w:space="0" w:color="auto"/>
        <w:left w:val="none" w:sz="0" w:space="0" w:color="auto"/>
        <w:bottom w:val="none" w:sz="0" w:space="0" w:color="auto"/>
        <w:right w:val="none" w:sz="0" w:space="0" w:color="auto"/>
      </w:divBdr>
      <w:divsChild>
        <w:div w:id="484903041">
          <w:marLeft w:val="0"/>
          <w:marRight w:val="0"/>
          <w:marTop w:val="0"/>
          <w:marBottom w:val="0"/>
          <w:divBdr>
            <w:top w:val="none" w:sz="0" w:space="0" w:color="auto"/>
            <w:left w:val="none" w:sz="0" w:space="0" w:color="auto"/>
            <w:bottom w:val="none" w:sz="0" w:space="0" w:color="auto"/>
            <w:right w:val="none" w:sz="0" w:space="0" w:color="auto"/>
          </w:divBdr>
          <w:divsChild>
            <w:div w:id="963074282">
              <w:marLeft w:val="0"/>
              <w:marRight w:val="0"/>
              <w:marTop w:val="0"/>
              <w:marBottom w:val="0"/>
              <w:divBdr>
                <w:top w:val="none" w:sz="0" w:space="0" w:color="auto"/>
                <w:left w:val="none" w:sz="0" w:space="0" w:color="auto"/>
                <w:bottom w:val="none" w:sz="0" w:space="0" w:color="auto"/>
                <w:right w:val="none" w:sz="0" w:space="0" w:color="auto"/>
              </w:divBdr>
              <w:divsChild>
                <w:div w:id="2079286310">
                  <w:marLeft w:val="0"/>
                  <w:marRight w:val="0"/>
                  <w:marTop w:val="0"/>
                  <w:marBottom w:val="0"/>
                  <w:divBdr>
                    <w:top w:val="none" w:sz="0" w:space="0" w:color="auto"/>
                    <w:left w:val="none" w:sz="0" w:space="0" w:color="auto"/>
                    <w:bottom w:val="none" w:sz="0" w:space="0" w:color="auto"/>
                    <w:right w:val="none" w:sz="0" w:space="0" w:color="auto"/>
                  </w:divBdr>
                  <w:divsChild>
                    <w:div w:id="791360092">
                      <w:marLeft w:val="0"/>
                      <w:marRight w:val="0"/>
                      <w:marTop w:val="0"/>
                      <w:marBottom w:val="0"/>
                      <w:divBdr>
                        <w:top w:val="none" w:sz="0" w:space="0" w:color="auto"/>
                        <w:left w:val="none" w:sz="0" w:space="0" w:color="auto"/>
                        <w:bottom w:val="none" w:sz="0" w:space="0" w:color="auto"/>
                        <w:right w:val="none" w:sz="0" w:space="0" w:color="auto"/>
                      </w:divBdr>
                      <w:divsChild>
                        <w:div w:id="196210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7744112">
      <w:bodyDiv w:val="1"/>
      <w:marLeft w:val="0"/>
      <w:marRight w:val="0"/>
      <w:marTop w:val="0"/>
      <w:marBottom w:val="0"/>
      <w:divBdr>
        <w:top w:val="none" w:sz="0" w:space="0" w:color="auto"/>
        <w:left w:val="none" w:sz="0" w:space="0" w:color="auto"/>
        <w:bottom w:val="none" w:sz="0" w:space="0" w:color="auto"/>
        <w:right w:val="none" w:sz="0" w:space="0" w:color="auto"/>
      </w:divBdr>
      <w:divsChild>
        <w:div w:id="1494296648">
          <w:marLeft w:val="0"/>
          <w:marRight w:val="0"/>
          <w:marTop w:val="0"/>
          <w:marBottom w:val="0"/>
          <w:divBdr>
            <w:top w:val="none" w:sz="0" w:space="0" w:color="auto"/>
            <w:left w:val="none" w:sz="0" w:space="0" w:color="auto"/>
            <w:bottom w:val="none" w:sz="0" w:space="0" w:color="auto"/>
            <w:right w:val="none" w:sz="0" w:space="0" w:color="auto"/>
          </w:divBdr>
          <w:divsChild>
            <w:div w:id="236087963">
              <w:marLeft w:val="0"/>
              <w:marRight w:val="0"/>
              <w:marTop w:val="0"/>
              <w:marBottom w:val="0"/>
              <w:divBdr>
                <w:top w:val="none" w:sz="0" w:space="0" w:color="auto"/>
                <w:left w:val="none" w:sz="0" w:space="0" w:color="auto"/>
                <w:bottom w:val="none" w:sz="0" w:space="0" w:color="auto"/>
                <w:right w:val="none" w:sz="0" w:space="0" w:color="auto"/>
              </w:divBdr>
              <w:divsChild>
                <w:div w:id="1000111567">
                  <w:marLeft w:val="0"/>
                  <w:marRight w:val="0"/>
                  <w:marTop w:val="0"/>
                  <w:marBottom w:val="0"/>
                  <w:divBdr>
                    <w:top w:val="none" w:sz="0" w:space="0" w:color="auto"/>
                    <w:left w:val="none" w:sz="0" w:space="0" w:color="auto"/>
                    <w:bottom w:val="none" w:sz="0" w:space="0" w:color="auto"/>
                    <w:right w:val="none" w:sz="0" w:space="0" w:color="auto"/>
                  </w:divBdr>
                  <w:divsChild>
                    <w:div w:id="177279416">
                      <w:marLeft w:val="0"/>
                      <w:marRight w:val="0"/>
                      <w:marTop w:val="0"/>
                      <w:marBottom w:val="0"/>
                      <w:divBdr>
                        <w:top w:val="none" w:sz="0" w:space="0" w:color="auto"/>
                        <w:left w:val="none" w:sz="0" w:space="0" w:color="auto"/>
                        <w:bottom w:val="none" w:sz="0" w:space="0" w:color="auto"/>
                        <w:right w:val="none" w:sz="0" w:space="0" w:color="auto"/>
                      </w:divBdr>
                      <w:divsChild>
                        <w:div w:id="90672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3220188">
      <w:bodyDiv w:val="1"/>
      <w:marLeft w:val="0"/>
      <w:marRight w:val="0"/>
      <w:marTop w:val="0"/>
      <w:marBottom w:val="0"/>
      <w:divBdr>
        <w:top w:val="none" w:sz="0" w:space="0" w:color="auto"/>
        <w:left w:val="none" w:sz="0" w:space="0" w:color="auto"/>
        <w:bottom w:val="none" w:sz="0" w:space="0" w:color="auto"/>
        <w:right w:val="none" w:sz="0" w:space="0" w:color="auto"/>
      </w:divBdr>
      <w:divsChild>
        <w:div w:id="1545095336">
          <w:marLeft w:val="0"/>
          <w:marRight w:val="0"/>
          <w:marTop w:val="0"/>
          <w:marBottom w:val="0"/>
          <w:divBdr>
            <w:top w:val="none" w:sz="0" w:space="0" w:color="auto"/>
            <w:left w:val="none" w:sz="0" w:space="0" w:color="auto"/>
            <w:bottom w:val="none" w:sz="0" w:space="0" w:color="auto"/>
            <w:right w:val="none" w:sz="0" w:space="0" w:color="auto"/>
          </w:divBdr>
          <w:divsChild>
            <w:div w:id="1153330116">
              <w:marLeft w:val="0"/>
              <w:marRight w:val="0"/>
              <w:marTop w:val="0"/>
              <w:marBottom w:val="0"/>
              <w:divBdr>
                <w:top w:val="none" w:sz="0" w:space="0" w:color="auto"/>
                <w:left w:val="none" w:sz="0" w:space="0" w:color="auto"/>
                <w:bottom w:val="none" w:sz="0" w:space="0" w:color="auto"/>
                <w:right w:val="none" w:sz="0" w:space="0" w:color="auto"/>
              </w:divBdr>
              <w:divsChild>
                <w:div w:id="410396650">
                  <w:marLeft w:val="0"/>
                  <w:marRight w:val="0"/>
                  <w:marTop w:val="0"/>
                  <w:marBottom w:val="0"/>
                  <w:divBdr>
                    <w:top w:val="none" w:sz="0" w:space="0" w:color="auto"/>
                    <w:left w:val="none" w:sz="0" w:space="0" w:color="auto"/>
                    <w:bottom w:val="none" w:sz="0" w:space="0" w:color="auto"/>
                    <w:right w:val="none" w:sz="0" w:space="0" w:color="auto"/>
                  </w:divBdr>
                  <w:divsChild>
                    <w:div w:id="373963040">
                      <w:marLeft w:val="0"/>
                      <w:marRight w:val="0"/>
                      <w:marTop w:val="0"/>
                      <w:marBottom w:val="0"/>
                      <w:divBdr>
                        <w:top w:val="none" w:sz="0" w:space="0" w:color="auto"/>
                        <w:left w:val="none" w:sz="0" w:space="0" w:color="auto"/>
                        <w:bottom w:val="none" w:sz="0" w:space="0" w:color="auto"/>
                        <w:right w:val="none" w:sz="0" w:space="0" w:color="auto"/>
                      </w:divBdr>
                      <w:divsChild>
                        <w:div w:id="400836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gif"/><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1719</Words>
  <Characters>10148</Characters>
  <Application>Microsoft Office Word</Application>
  <DocSecurity>0</DocSecurity>
  <Lines>84</Lines>
  <Paragraphs>23</Paragraphs>
  <ScaleCrop>false</ScaleCrop>
  <Company>ČSÚ</Company>
  <LinksUpToDate>false</LinksUpToDate>
  <CharactersWithSpaces>11844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 Lucie Kohoutová</dc:creator>
  <cp:lastModifiedBy>Ing. Lucie Kohoutová</cp:lastModifiedBy>
  <cp:revision>5</cp:revision>
  <dcterms:created xsi:type="dcterms:W3CDTF">2014-12-03T09:52:00Z</dcterms:created>
  <dcterms:modified xsi:type="dcterms:W3CDTF">2014-12-03T09:59:00Z</dcterms:modified>
</cp:coreProperties>
</file>