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7DF" w:rsidRDefault="000874C3" w:rsidP="00D83A91">
      <w:pPr>
        <w:jc w:val="both"/>
        <w:rPr>
          <w:rFonts w:ascii="Arial" w:hAnsi="Arial" w:cs="Arial"/>
          <w:b/>
          <w:sz w:val="32"/>
          <w:szCs w:val="32"/>
        </w:rPr>
      </w:pPr>
      <w:r>
        <w:rPr>
          <w:rFonts w:ascii="Arial" w:hAnsi="Arial" w:cs="Arial"/>
          <w:b/>
          <w:sz w:val="32"/>
          <w:szCs w:val="32"/>
        </w:rPr>
        <w:t>Související klasifikace</w:t>
      </w:r>
    </w:p>
    <w:p w:rsidR="000874C3" w:rsidRDefault="000874C3" w:rsidP="000874C3">
      <w:pPr>
        <w:pStyle w:val="Normlnweb"/>
        <w:jc w:val="both"/>
        <w:rPr>
          <w:rFonts w:ascii="Arial" w:hAnsi="Arial" w:cs="Arial"/>
          <w:sz w:val="20"/>
          <w:szCs w:val="20"/>
        </w:rPr>
      </w:pPr>
      <w:r w:rsidRPr="000874C3">
        <w:rPr>
          <w:rFonts w:ascii="Arial" w:hAnsi="Arial" w:cs="Arial"/>
          <w:sz w:val="20"/>
          <w:szCs w:val="20"/>
        </w:rPr>
        <w:t>Klasifikace CZ-COFOG zachovává návaznost na</w:t>
      </w:r>
      <w:r w:rsidRPr="000874C3">
        <w:rPr>
          <w:rFonts w:ascii="Arial" w:hAnsi="Arial" w:cs="Arial"/>
          <w:i/>
          <w:iCs/>
          <w:sz w:val="20"/>
          <w:szCs w:val="20"/>
        </w:rPr>
        <w:t xml:space="preserve"> Odvětvovou klasifikaci ekonomických činností</w:t>
      </w:r>
      <w:r w:rsidRPr="000874C3">
        <w:rPr>
          <w:rFonts w:ascii="Arial" w:hAnsi="Arial" w:cs="Arial"/>
          <w:sz w:val="20"/>
          <w:szCs w:val="20"/>
        </w:rPr>
        <w:t xml:space="preserve"> </w:t>
      </w:r>
      <w:r w:rsidRPr="000874C3">
        <w:rPr>
          <w:rFonts w:ascii="Arial" w:hAnsi="Arial" w:cs="Arial"/>
          <w:b/>
          <w:bCs/>
          <w:sz w:val="20"/>
          <w:szCs w:val="20"/>
        </w:rPr>
        <w:t>OKEČ</w:t>
      </w:r>
      <w:r w:rsidR="0077064B">
        <w:rPr>
          <w:rFonts w:ascii="Arial" w:hAnsi="Arial" w:cs="Arial"/>
          <w:bCs/>
          <w:sz w:val="20"/>
          <w:szCs w:val="20"/>
          <w:vertAlign w:val="superscript"/>
        </w:rPr>
        <w:t>4)</w:t>
      </w:r>
      <w:r w:rsidRPr="000874C3">
        <w:rPr>
          <w:rFonts w:ascii="Arial" w:hAnsi="Arial" w:cs="Arial"/>
          <w:sz w:val="20"/>
          <w:szCs w:val="20"/>
        </w:rPr>
        <w:t>,</w:t>
      </w:r>
      <w:r w:rsidRPr="000874C3">
        <w:rPr>
          <w:rFonts w:ascii="Arial" w:hAnsi="Arial" w:cs="Arial"/>
          <w:b/>
          <w:bCs/>
          <w:sz w:val="20"/>
          <w:szCs w:val="20"/>
        </w:rPr>
        <w:t xml:space="preserve"> </w:t>
      </w:r>
      <w:r w:rsidRPr="000874C3">
        <w:rPr>
          <w:rFonts w:ascii="Arial" w:hAnsi="Arial" w:cs="Arial"/>
          <w:sz w:val="20"/>
          <w:szCs w:val="20"/>
        </w:rPr>
        <w:t xml:space="preserve">neboť v zásadě </w:t>
      </w:r>
      <w:r w:rsidRPr="000874C3">
        <w:rPr>
          <w:rFonts w:ascii="Arial" w:hAnsi="Arial" w:cs="Arial"/>
          <w:i/>
          <w:iCs/>
          <w:sz w:val="20"/>
          <w:szCs w:val="20"/>
        </w:rPr>
        <w:t>jednotkou</w:t>
      </w:r>
      <w:r w:rsidRPr="000874C3">
        <w:rPr>
          <w:rFonts w:ascii="Arial" w:hAnsi="Arial" w:cs="Arial"/>
          <w:sz w:val="20"/>
          <w:szCs w:val="20"/>
        </w:rPr>
        <w:t xml:space="preserve"> u obou klasifikací je </w:t>
      </w:r>
      <w:r w:rsidRPr="000874C3">
        <w:rPr>
          <w:rFonts w:ascii="Arial" w:hAnsi="Arial" w:cs="Arial"/>
          <w:i/>
          <w:iCs/>
          <w:sz w:val="20"/>
          <w:szCs w:val="20"/>
        </w:rPr>
        <w:t>individuální transakce</w:t>
      </w:r>
      <w:r w:rsidRPr="000874C3">
        <w:rPr>
          <w:rFonts w:ascii="Arial" w:hAnsi="Arial" w:cs="Arial"/>
          <w:sz w:val="20"/>
          <w:szCs w:val="20"/>
        </w:rPr>
        <w:t xml:space="preserve">, která bývá často stejnou jednotkou jak pro mnoho druhů výdajů vládních institucí, tak stejně pro OKEČ. Navíc kritéria předmětu klasifikací - v případě CZ-COFOG - </w:t>
      </w:r>
      <w:r w:rsidRPr="000874C3">
        <w:rPr>
          <w:rFonts w:ascii="Arial" w:hAnsi="Arial" w:cs="Arial"/>
          <w:i/>
          <w:iCs/>
          <w:sz w:val="20"/>
          <w:szCs w:val="20"/>
        </w:rPr>
        <w:t>funkce</w:t>
      </w:r>
      <w:r w:rsidRPr="000874C3">
        <w:rPr>
          <w:rFonts w:ascii="Arial" w:hAnsi="Arial" w:cs="Arial"/>
          <w:sz w:val="20"/>
          <w:szCs w:val="20"/>
        </w:rPr>
        <w:t xml:space="preserve">, v případě OKEČ - </w:t>
      </w:r>
      <w:r w:rsidRPr="000874C3">
        <w:rPr>
          <w:rFonts w:ascii="Arial" w:hAnsi="Arial" w:cs="Arial"/>
          <w:i/>
          <w:iCs/>
          <w:sz w:val="20"/>
          <w:szCs w:val="20"/>
        </w:rPr>
        <w:t xml:space="preserve">činnost </w:t>
      </w:r>
      <w:r w:rsidRPr="000874C3">
        <w:rPr>
          <w:rFonts w:ascii="Arial" w:hAnsi="Arial" w:cs="Arial"/>
          <w:sz w:val="20"/>
          <w:szCs w:val="20"/>
        </w:rPr>
        <w:t>(aktivita) - se jeví co do koncepce jako dosti podobné. CZ-COFOG je však vhodnější pro klasifikaci výdajů vládních institucí (oproti OKEČ) zvláště proto, že seznam funkcí v CZ-COFOG je podrobnější než seznam činností OKEČ. Zároveň je zvláště zaměřen na to, aby vzal v úvahu rozsah a rozdílnost činností vládních institucí. Klasifikace funkcí CZ-COFOG se tedy liší od klasifikace činností OKEČ předevš</w:t>
      </w:r>
      <w:r>
        <w:rPr>
          <w:rFonts w:ascii="Arial" w:hAnsi="Arial" w:cs="Arial"/>
          <w:sz w:val="20"/>
          <w:szCs w:val="20"/>
        </w:rPr>
        <w:t>ím z hlediska sledovaných cílů.</w:t>
      </w:r>
    </w:p>
    <w:p w:rsidR="000874C3" w:rsidRDefault="000874C3" w:rsidP="000874C3">
      <w:pPr>
        <w:pStyle w:val="Normlnweb"/>
        <w:jc w:val="both"/>
        <w:rPr>
          <w:rFonts w:ascii="Arial" w:hAnsi="Arial" w:cs="Arial"/>
          <w:sz w:val="20"/>
          <w:szCs w:val="20"/>
        </w:rPr>
      </w:pPr>
      <w:r w:rsidRPr="000874C3">
        <w:rPr>
          <w:rFonts w:ascii="Arial" w:hAnsi="Arial" w:cs="Arial"/>
          <w:sz w:val="20"/>
          <w:szCs w:val="20"/>
        </w:rPr>
        <w:t>OKEČ má za cíl klasifikovat položky příjmů a výdajů, které jsou přímo spojeny s výrobou určité kategorie výrobků nebo služeb, a tím umožnit analyzovat podmínky této výroby. U CZ-COFOG v rámci funkčních analýz vystupuje snaha méně zdůrazňovat strukturu výdajů a spíše měřit finanční prostředky věnované jednotlivým oblastem výdajů. Proto se může stát, že v jedné položce se registrují jak výdaje na vlastní činnost správních orgánů, tak pomoc a subvence poskytnuté na obdobné činnosti jiných institucí. Navíc je zde nutné mít možnost roztřídit všechny výdaje státní správy včetně přerozdělení domácnostem (nebo jinam), které nelze obecně považovat za podporu nějaké činnosti.</w:t>
      </w:r>
    </w:p>
    <w:p w:rsidR="000874C3" w:rsidRDefault="000874C3" w:rsidP="000874C3">
      <w:pPr>
        <w:pStyle w:val="Normlnweb"/>
        <w:jc w:val="both"/>
        <w:rPr>
          <w:rFonts w:ascii="Arial" w:hAnsi="Arial" w:cs="Arial"/>
          <w:sz w:val="20"/>
          <w:szCs w:val="20"/>
        </w:rPr>
      </w:pPr>
      <w:r w:rsidRPr="000874C3">
        <w:rPr>
          <w:rFonts w:ascii="Arial" w:hAnsi="Arial" w:cs="Arial"/>
          <w:sz w:val="20"/>
          <w:szCs w:val="20"/>
        </w:rPr>
        <w:t xml:space="preserve">Vazba mezi klasifikacemi CZ-COFOG a </w:t>
      </w:r>
      <w:r w:rsidRPr="000874C3">
        <w:rPr>
          <w:rFonts w:ascii="Arial" w:hAnsi="Arial" w:cs="Arial"/>
          <w:i/>
          <w:iCs/>
          <w:sz w:val="20"/>
          <w:szCs w:val="20"/>
        </w:rPr>
        <w:t>Standardní klasifikací produkce</w:t>
      </w:r>
      <w:r w:rsidRPr="000874C3">
        <w:rPr>
          <w:rFonts w:ascii="Arial" w:hAnsi="Arial" w:cs="Arial"/>
          <w:sz w:val="20"/>
          <w:szCs w:val="20"/>
        </w:rPr>
        <w:t xml:space="preserve"> </w:t>
      </w:r>
      <w:r w:rsidRPr="000874C3">
        <w:rPr>
          <w:rFonts w:ascii="Arial" w:hAnsi="Arial" w:cs="Arial"/>
          <w:b/>
          <w:bCs/>
          <w:sz w:val="20"/>
          <w:szCs w:val="20"/>
        </w:rPr>
        <w:t xml:space="preserve">SKP </w:t>
      </w:r>
      <w:r w:rsidRPr="000874C3">
        <w:rPr>
          <w:rFonts w:ascii="Arial" w:hAnsi="Arial" w:cs="Arial"/>
          <w:sz w:val="20"/>
          <w:szCs w:val="20"/>
          <w:vertAlign w:val="superscript"/>
        </w:rPr>
        <w:t>5)</w:t>
      </w:r>
      <w:r w:rsidRPr="000874C3">
        <w:rPr>
          <w:rFonts w:ascii="Arial" w:hAnsi="Arial" w:cs="Arial"/>
          <w:sz w:val="20"/>
          <w:szCs w:val="20"/>
        </w:rPr>
        <w:t xml:space="preserve"> není příliš těsná. SKP se zabývá výrobky a službami, to znamená výkonem producentů, jakými jsou například - při použití terminologie SNA – „průmysl“ nebo „služby“. Klasifikaci SKP lze obecně a oprávněně použít pro klasifikaci služeb, které produkují vládní instituce pro své vlastní použití nebo spotřebu, avšak je zřejmé, že ji nelze uplatnit pro platby, jako jsou transfery, dotace, dávky sociální ochrany nebo tvorba kapitálu, neboť v tomto případě se nejedná o výrobky nebo služby.</w:t>
      </w:r>
    </w:p>
    <w:p w:rsidR="000874C3" w:rsidRDefault="000874C3" w:rsidP="000874C3">
      <w:pPr>
        <w:pStyle w:val="Normlnweb"/>
        <w:jc w:val="both"/>
        <w:rPr>
          <w:rFonts w:ascii="Arial" w:hAnsi="Arial" w:cs="Arial"/>
          <w:sz w:val="20"/>
          <w:szCs w:val="20"/>
        </w:rPr>
      </w:pPr>
      <w:r w:rsidRPr="000874C3">
        <w:rPr>
          <w:rFonts w:ascii="Arial" w:hAnsi="Arial" w:cs="Arial"/>
          <w:b/>
          <w:bCs/>
          <w:sz w:val="20"/>
          <w:szCs w:val="20"/>
          <w:u w:val="single"/>
        </w:rPr>
        <w:t>Poznámka:</w:t>
      </w:r>
    </w:p>
    <w:p w:rsidR="000874C3" w:rsidRDefault="000874C3" w:rsidP="000874C3">
      <w:pPr>
        <w:pStyle w:val="Normlnweb"/>
        <w:jc w:val="both"/>
        <w:rPr>
          <w:rFonts w:ascii="Arial" w:hAnsi="Arial" w:cs="Arial"/>
          <w:sz w:val="20"/>
          <w:szCs w:val="20"/>
        </w:rPr>
      </w:pPr>
      <w:r w:rsidRPr="000874C3">
        <w:rPr>
          <w:rFonts w:ascii="Arial" w:hAnsi="Arial" w:cs="Arial"/>
          <w:sz w:val="20"/>
          <w:szCs w:val="20"/>
        </w:rPr>
        <w:t xml:space="preserve">Mezinárodní standard COFOG má vazbu na mezinárodní odvětvovou klasifikaci všech ekonomických činností ISIC </w:t>
      </w:r>
      <w:proofErr w:type="spellStart"/>
      <w:r w:rsidRPr="000874C3">
        <w:rPr>
          <w:rFonts w:ascii="Arial" w:hAnsi="Arial" w:cs="Arial"/>
          <w:sz w:val="20"/>
          <w:szCs w:val="20"/>
        </w:rPr>
        <w:t>rev</w:t>
      </w:r>
      <w:proofErr w:type="spellEnd"/>
      <w:r w:rsidRPr="000874C3">
        <w:rPr>
          <w:rFonts w:ascii="Arial" w:hAnsi="Arial" w:cs="Arial"/>
          <w:sz w:val="20"/>
          <w:szCs w:val="20"/>
        </w:rPr>
        <w:t>. 3 (Spojené národy, New York). Třídění oddílu 05 vychází z</w:t>
      </w:r>
      <w:r w:rsidRPr="000874C3">
        <w:rPr>
          <w:rFonts w:ascii="Arial" w:hAnsi="Arial" w:cs="Arial"/>
          <w:i/>
          <w:iCs/>
          <w:sz w:val="20"/>
          <w:szCs w:val="20"/>
        </w:rPr>
        <w:t xml:space="preserve"> Klasifikace činností souvisejících s ochranou životního prostředí</w:t>
      </w:r>
      <w:r w:rsidRPr="000874C3">
        <w:rPr>
          <w:rFonts w:ascii="Arial" w:hAnsi="Arial" w:cs="Arial"/>
          <w:sz w:val="20"/>
          <w:szCs w:val="20"/>
        </w:rPr>
        <w:t xml:space="preserve"> (</w:t>
      </w:r>
      <w:proofErr w:type="spellStart"/>
      <w:r w:rsidRPr="000874C3">
        <w:rPr>
          <w:rFonts w:ascii="Arial" w:hAnsi="Arial" w:cs="Arial"/>
          <w:sz w:val="20"/>
          <w:szCs w:val="20"/>
        </w:rPr>
        <w:t>Classification</w:t>
      </w:r>
      <w:proofErr w:type="spellEnd"/>
      <w:r w:rsidRPr="000874C3">
        <w:rPr>
          <w:rFonts w:ascii="Arial" w:hAnsi="Arial" w:cs="Arial"/>
          <w:sz w:val="20"/>
          <w:szCs w:val="20"/>
        </w:rPr>
        <w:t xml:space="preserve"> </w:t>
      </w:r>
      <w:proofErr w:type="spellStart"/>
      <w:r w:rsidRPr="000874C3">
        <w:rPr>
          <w:rFonts w:ascii="Arial" w:hAnsi="Arial" w:cs="Arial"/>
          <w:sz w:val="20"/>
          <w:szCs w:val="20"/>
        </w:rPr>
        <w:t>of</w:t>
      </w:r>
      <w:proofErr w:type="spellEnd"/>
      <w:r w:rsidRPr="000874C3">
        <w:rPr>
          <w:rFonts w:ascii="Arial" w:hAnsi="Arial" w:cs="Arial"/>
          <w:sz w:val="20"/>
          <w:szCs w:val="20"/>
        </w:rPr>
        <w:t xml:space="preserve"> </w:t>
      </w:r>
      <w:proofErr w:type="spellStart"/>
      <w:r w:rsidRPr="000874C3">
        <w:rPr>
          <w:rFonts w:ascii="Arial" w:hAnsi="Arial" w:cs="Arial"/>
          <w:sz w:val="20"/>
          <w:szCs w:val="20"/>
        </w:rPr>
        <w:t>Environmental</w:t>
      </w:r>
      <w:proofErr w:type="spellEnd"/>
      <w:r w:rsidRPr="000874C3">
        <w:rPr>
          <w:rFonts w:ascii="Arial" w:hAnsi="Arial" w:cs="Arial"/>
          <w:sz w:val="20"/>
          <w:szCs w:val="20"/>
        </w:rPr>
        <w:t xml:space="preserve"> </w:t>
      </w:r>
      <w:proofErr w:type="spellStart"/>
      <w:r w:rsidRPr="000874C3">
        <w:rPr>
          <w:rFonts w:ascii="Arial" w:hAnsi="Arial" w:cs="Arial"/>
          <w:sz w:val="20"/>
          <w:szCs w:val="20"/>
        </w:rPr>
        <w:t>Protection</w:t>
      </w:r>
      <w:proofErr w:type="spellEnd"/>
      <w:r w:rsidRPr="000874C3">
        <w:rPr>
          <w:rFonts w:ascii="Arial" w:hAnsi="Arial" w:cs="Arial"/>
          <w:sz w:val="20"/>
          <w:szCs w:val="20"/>
        </w:rPr>
        <w:t xml:space="preserve"> </w:t>
      </w:r>
      <w:proofErr w:type="spellStart"/>
      <w:r w:rsidRPr="000874C3">
        <w:rPr>
          <w:rFonts w:ascii="Arial" w:hAnsi="Arial" w:cs="Arial"/>
          <w:sz w:val="20"/>
          <w:szCs w:val="20"/>
        </w:rPr>
        <w:t>Activities</w:t>
      </w:r>
      <w:proofErr w:type="spellEnd"/>
      <w:r w:rsidRPr="000874C3">
        <w:rPr>
          <w:rFonts w:ascii="Arial" w:hAnsi="Arial" w:cs="Arial"/>
          <w:sz w:val="20"/>
          <w:szCs w:val="20"/>
        </w:rPr>
        <w:t xml:space="preserve"> - CEPA), vypracované Statistickým úřadem Evropských společenství (</w:t>
      </w:r>
      <w:proofErr w:type="spellStart"/>
      <w:r w:rsidRPr="000874C3">
        <w:rPr>
          <w:rFonts w:ascii="Arial" w:hAnsi="Arial" w:cs="Arial"/>
          <w:sz w:val="20"/>
          <w:szCs w:val="20"/>
        </w:rPr>
        <w:t>Eurostat</w:t>
      </w:r>
      <w:proofErr w:type="spellEnd"/>
      <w:r w:rsidRPr="000874C3">
        <w:rPr>
          <w:rFonts w:ascii="Arial" w:hAnsi="Arial" w:cs="Arial"/>
          <w:sz w:val="20"/>
          <w:szCs w:val="20"/>
        </w:rPr>
        <w:t>) v Evropském systému pro sběr ekonomických údajů, týkajících se životního prostředí (SERIEE)</w:t>
      </w:r>
      <w:r w:rsidRPr="000874C3">
        <w:rPr>
          <w:rFonts w:ascii="Arial" w:hAnsi="Arial" w:cs="Arial"/>
          <w:sz w:val="20"/>
          <w:szCs w:val="20"/>
          <w:vertAlign w:val="superscript"/>
        </w:rPr>
        <w:t xml:space="preserve"> 6)</w:t>
      </w:r>
      <w:r w:rsidRPr="000874C3">
        <w:rPr>
          <w:rFonts w:ascii="Arial" w:hAnsi="Arial" w:cs="Arial"/>
          <w:sz w:val="20"/>
          <w:szCs w:val="20"/>
        </w:rPr>
        <w:t>.</w:t>
      </w:r>
    </w:p>
    <w:p w:rsidR="000874C3" w:rsidRDefault="000874C3" w:rsidP="000874C3">
      <w:pPr>
        <w:pStyle w:val="Normlnweb"/>
        <w:jc w:val="both"/>
        <w:rPr>
          <w:rFonts w:ascii="Arial" w:hAnsi="Arial" w:cs="Arial"/>
          <w:sz w:val="20"/>
          <w:szCs w:val="20"/>
        </w:rPr>
      </w:pPr>
      <w:r w:rsidRPr="000874C3">
        <w:rPr>
          <w:rFonts w:ascii="Arial" w:hAnsi="Arial" w:cs="Arial"/>
          <w:sz w:val="20"/>
          <w:szCs w:val="20"/>
        </w:rPr>
        <w:t xml:space="preserve">Při specifikaci sociální ochrany vychází COFOG z Evropského systému jednotných statistik sociální ochrany z roku 1996 (ESSPROS) </w:t>
      </w:r>
      <w:r w:rsidRPr="000874C3">
        <w:rPr>
          <w:rFonts w:ascii="Arial" w:hAnsi="Arial" w:cs="Arial"/>
          <w:sz w:val="20"/>
          <w:szCs w:val="20"/>
          <w:vertAlign w:val="superscript"/>
        </w:rPr>
        <w:t>7)</w:t>
      </w:r>
      <w:r w:rsidRPr="000874C3">
        <w:rPr>
          <w:rFonts w:ascii="Arial" w:hAnsi="Arial" w:cs="Arial"/>
          <w:sz w:val="20"/>
          <w:szCs w:val="20"/>
        </w:rPr>
        <w:t>, pokrývající i oblast zdraví, vypracovaného Statistickým úřadem Evropských společenství (</w:t>
      </w:r>
      <w:proofErr w:type="spellStart"/>
      <w:r w:rsidRPr="000874C3">
        <w:rPr>
          <w:rFonts w:ascii="Arial" w:hAnsi="Arial" w:cs="Arial"/>
          <w:sz w:val="20"/>
          <w:szCs w:val="20"/>
        </w:rPr>
        <w:t>Eurostat</w:t>
      </w:r>
      <w:proofErr w:type="spellEnd"/>
      <w:r w:rsidRPr="000874C3">
        <w:rPr>
          <w:rFonts w:ascii="Arial" w:hAnsi="Arial" w:cs="Arial"/>
          <w:sz w:val="20"/>
          <w:szCs w:val="20"/>
        </w:rPr>
        <w:t>).</w:t>
      </w:r>
    </w:p>
    <w:p w:rsidR="000874C3" w:rsidRDefault="000874C3" w:rsidP="000874C3">
      <w:pPr>
        <w:pStyle w:val="Normlnweb"/>
        <w:jc w:val="both"/>
        <w:rPr>
          <w:rFonts w:ascii="Arial" w:hAnsi="Arial" w:cs="Arial"/>
          <w:sz w:val="20"/>
          <w:szCs w:val="20"/>
        </w:rPr>
      </w:pPr>
      <w:r w:rsidRPr="000874C3">
        <w:rPr>
          <w:rFonts w:ascii="Arial" w:hAnsi="Arial" w:cs="Arial"/>
          <w:sz w:val="20"/>
          <w:szCs w:val="20"/>
        </w:rPr>
        <w:t xml:space="preserve">U základního a aplikovaného výzkumu a vývoje má COFOG vazbu na </w:t>
      </w:r>
      <w:proofErr w:type="spellStart"/>
      <w:r w:rsidRPr="000874C3">
        <w:rPr>
          <w:rFonts w:ascii="Arial" w:hAnsi="Arial" w:cs="Arial"/>
          <w:sz w:val="20"/>
          <w:szCs w:val="20"/>
        </w:rPr>
        <w:t>Frascati</w:t>
      </w:r>
      <w:proofErr w:type="spellEnd"/>
      <w:r w:rsidRPr="000874C3">
        <w:rPr>
          <w:rFonts w:ascii="Arial" w:hAnsi="Arial" w:cs="Arial"/>
          <w:sz w:val="20"/>
          <w:szCs w:val="20"/>
        </w:rPr>
        <w:t xml:space="preserve"> </w:t>
      </w:r>
      <w:proofErr w:type="spellStart"/>
      <w:r w:rsidRPr="000874C3">
        <w:rPr>
          <w:rFonts w:ascii="Arial" w:hAnsi="Arial" w:cs="Arial"/>
          <w:sz w:val="20"/>
          <w:szCs w:val="20"/>
        </w:rPr>
        <w:t>Manual</w:t>
      </w:r>
      <w:proofErr w:type="spellEnd"/>
      <w:r w:rsidRPr="000874C3">
        <w:rPr>
          <w:rFonts w:ascii="Arial" w:hAnsi="Arial" w:cs="Arial"/>
          <w:sz w:val="20"/>
          <w:szCs w:val="20"/>
        </w:rPr>
        <w:t xml:space="preserve"> 19938 </w:t>
      </w:r>
      <w:r w:rsidRPr="000874C3">
        <w:rPr>
          <w:rFonts w:ascii="Arial" w:hAnsi="Arial" w:cs="Arial"/>
          <w:sz w:val="20"/>
          <w:szCs w:val="20"/>
          <w:vertAlign w:val="superscript"/>
        </w:rPr>
        <w:t>8)</w:t>
      </w:r>
      <w:r>
        <w:rPr>
          <w:rFonts w:ascii="Arial" w:hAnsi="Arial" w:cs="Arial"/>
          <w:sz w:val="20"/>
          <w:szCs w:val="20"/>
        </w:rPr>
        <w:t>.</w:t>
      </w:r>
    </w:p>
    <w:p w:rsidR="000874C3" w:rsidRDefault="000874C3" w:rsidP="000874C3">
      <w:pPr>
        <w:pStyle w:val="Normlnweb"/>
        <w:jc w:val="both"/>
        <w:rPr>
          <w:rFonts w:ascii="Arial" w:hAnsi="Arial" w:cs="Arial"/>
          <w:sz w:val="20"/>
          <w:szCs w:val="20"/>
        </w:rPr>
      </w:pPr>
    </w:p>
    <w:p w:rsidR="000874C3" w:rsidRDefault="000874C3" w:rsidP="000874C3">
      <w:pPr>
        <w:pStyle w:val="Normlnweb"/>
        <w:jc w:val="both"/>
        <w:rPr>
          <w:rFonts w:ascii="Arial" w:hAnsi="Arial" w:cs="Arial"/>
          <w:sz w:val="20"/>
          <w:szCs w:val="20"/>
        </w:rPr>
      </w:pPr>
    </w:p>
    <w:p w:rsidR="000874C3" w:rsidRPr="000874C3" w:rsidRDefault="000874C3" w:rsidP="00044CD0">
      <w:pPr>
        <w:pStyle w:val="Normlnweb"/>
        <w:spacing w:before="0" w:beforeAutospacing="0" w:after="120" w:afterAutospacing="0"/>
        <w:jc w:val="both"/>
        <w:rPr>
          <w:rFonts w:ascii="Arial" w:hAnsi="Arial" w:cs="Arial"/>
          <w:sz w:val="16"/>
          <w:szCs w:val="16"/>
        </w:rPr>
      </w:pPr>
      <w:bookmarkStart w:id="0" w:name="4)%20Odv%C4%9Btvov%C3%A1%20klasifikace%2"/>
      <w:bookmarkEnd w:id="0"/>
      <w:r w:rsidRPr="000874C3">
        <w:rPr>
          <w:rFonts w:ascii="Arial" w:hAnsi="Arial" w:cs="Arial"/>
          <w:sz w:val="16"/>
          <w:szCs w:val="16"/>
        </w:rPr>
        <w:t>4) Odvětvová klasifikace ekonomických činností (OKEČ) zavedená „Opatřením ČSÚ“, částka 77/1993 Sb., novelizace částka 83/1995 Sb. a částka 80/1998 Sb.</w:t>
      </w:r>
    </w:p>
    <w:p w:rsidR="000874C3" w:rsidRPr="000874C3" w:rsidRDefault="000874C3" w:rsidP="00044CD0">
      <w:pPr>
        <w:pStyle w:val="Normlnweb"/>
        <w:spacing w:before="0" w:beforeAutospacing="0" w:after="120" w:afterAutospacing="0"/>
        <w:jc w:val="both"/>
        <w:rPr>
          <w:rFonts w:ascii="Arial" w:hAnsi="Arial" w:cs="Arial"/>
          <w:sz w:val="16"/>
          <w:szCs w:val="16"/>
        </w:rPr>
      </w:pPr>
      <w:bookmarkStart w:id="1" w:name="5)%20Standardn%C3%AD%20klasifikace%20pro"/>
      <w:bookmarkEnd w:id="1"/>
      <w:r w:rsidRPr="000874C3">
        <w:rPr>
          <w:rFonts w:ascii="Arial" w:hAnsi="Arial" w:cs="Arial"/>
          <w:sz w:val="16"/>
          <w:szCs w:val="16"/>
        </w:rPr>
        <w:t xml:space="preserve">5) Standardní klasifikace produkce (SKP) zavedená „Opatřením ČSÚ“, částka 69/1993 Sb., novelizace - </w:t>
      </w:r>
      <w:proofErr w:type="gramStart"/>
      <w:r w:rsidRPr="000874C3">
        <w:rPr>
          <w:rFonts w:ascii="Arial" w:hAnsi="Arial" w:cs="Arial"/>
          <w:sz w:val="16"/>
          <w:szCs w:val="16"/>
        </w:rPr>
        <w:t>rozšířená 1.část</w:t>
      </w:r>
      <w:proofErr w:type="gramEnd"/>
      <w:r w:rsidRPr="000874C3">
        <w:rPr>
          <w:rFonts w:ascii="Arial" w:hAnsi="Arial" w:cs="Arial"/>
          <w:sz w:val="16"/>
          <w:szCs w:val="16"/>
        </w:rPr>
        <w:t xml:space="preserve">: SKP-AGROEN částka 62/1996 Sb., </w:t>
      </w:r>
      <w:proofErr w:type="gramStart"/>
      <w:r w:rsidRPr="000874C3">
        <w:rPr>
          <w:rFonts w:ascii="Arial" w:hAnsi="Arial" w:cs="Arial"/>
          <w:sz w:val="16"/>
          <w:szCs w:val="16"/>
        </w:rPr>
        <w:t>rozšířená 2.část</w:t>
      </w:r>
      <w:proofErr w:type="gramEnd"/>
      <w:r w:rsidRPr="000874C3">
        <w:rPr>
          <w:rFonts w:ascii="Arial" w:hAnsi="Arial" w:cs="Arial"/>
          <w:sz w:val="16"/>
          <w:szCs w:val="16"/>
        </w:rPr>
        <w:t xml:space="preserve">: SKP-PRUM částka 93/1997 Sb., </w:t>
      </w:r>
      <w:proofErr w:type="gramStart"/>
      <w:r w:rsidRPr="000874C3">
        <w:rPr>
          <w:rFonts w:ascii="Arial" w:hAnsi="Arial" w:cs="Arial"/>
          <w:sz w:val="16"/>
          <w:szCs w:val="16"/>
        </w:rPr>
        <w:t>rozšířená 3.část</w:t>
      </w:r>
      <w:proofErr w:type="gramEnd"/>
      <w:r w:rsidRPr="000874C3">
        <w:rPr>
          <w:rFonts w:ascii="Arial" w:hAnsi="Arial" w:cs="Arial"/>
          <w:sz w:val="16"/>
          <w:szCs w:val="16"/>
        </w:rPr>
        <w:t>: SKP-VÝKONY částka 2/1997 Sb.</w:t>
      </w:r>
    </w:p>
    <w:p w:rsidR="000874C3" w:rsidRPr="000874C3" w:rsidRDefault="000874C3" w:rsidP="00044CD0">
      <w:pPr>
        <w:pStyle w:val="Normlnweb"/>
        <w:spacing w:before="0" w:beforeAutospacing="0" w:after="120" w:afterAutospacing="0"/>
        <w:jc w:val="both"/>
        <w:rPr>
          <w:rFonts w:ascii="Arial" w:hAnsi="Arial" w:cs="Arial"/>
          <w:sz w:val="16"/>
          <w:szCs w:val="16"/>
        </w:rPr>
      </w:pPr>
      <w:bookmarkStart w:id="2" w:name="6)%20Evropsk%C3%BD%20syst%C3%A9m%20pro%2"/>
      <w:bookmarkEnd w:id="2"/>
      <w:r w:rsidRPr="000874C3">
        <w:rPr>
          <w:rFonts w:ascii="Arial" w:hAnsi="Arial" w:cs="Arial"/>
          <w:sz w:val="16"/>
          <w:szCs w:val="16"/>
        </w:rPr>
        <w:t>6) Evropský systém pro sběr ekonomických údajů týkajících se životního prostředí (SERIEE). Statistický úřad Evropských společenství (</w:t>
      </w:r>
      <w:proofErr w:type="spellStart"/>
      <w:r w:rsidRPr="000874C3">
        <w:rPr>
          <w:rFonts w:ascii="Arial" w:hAnsi="Arial" w:cs="Arial"/>
          <w:sz w:val="16"/>
          <w:szCs w:val="16"/>
        </w:rPr>
        <w:t>Eurostat</w:t>
      </w:r>
      <w:proofErr w:type="spellEnd"/>
      <w:r w:rsidRPr="000874C3">
        <w:rPr>
          <w:rFonts w:ascii="Arial" w:hAnsi="Arial" w:cs="Arial"/>
          <w:sz w:val="16"/>
          <w:szCs w:val="16"/>
        </w:rPr>
        <w:t>), Luxemburg 1994.</w:t>
      </w:r>
    </w:p>
    <w:p w:rsidR="000874C3" w:rsidRPr="000874C3" w:rsidRDefault="000874C3" w:rsidP="00044CD0">
      <w:pPr>
        <w:pStyle w:val="Normlnweb"/>
        <w:spacing w:before="0" w:beforeAutospacing="0" w:after="120" w:afterAutospacing="0"/>
        <w:jc w:val="both"/>
        <w:rPr>
          <w:rFonts w:ascii="Arial" w:hAnsi="Arial" w:cs="Arial"/>
          <w:sz w:val="16"/>
          <w:szCs w:val="16"/>
        </w:rPr>
      </w:pPr>
      <w:bookmarkStart w:id="3" w:name="7)Evropsk%C3%BD%20syst%C3%A9m%20jednotn%"/>
      <w:bookmarkEnd w:id="3"/>
      <w:r w:rsidRPr="000874C3">
        <w:rPr>
          <w:rFonts w:ascii="Arial" w:hAnsi="Arial" w:cs="Arial"/>
          <w:sz w:val="16"/>
          <w:szCs w:val="16"/>
        </w:rPr>
        <w:t>7) Evropský systém jednotných statistik sociální ochrany (ESSPROS). Statistický úřad Evropských společenství (</w:t>
      </w:r>
      <w:proofErr w:type="spellStart"/>
      <w:r w:rsidRPr="000874C3">
        <w:rPr>
          <w:rFonts w:ascii="Arial" w:hAnsi="Arial" w:cs="Arial"/>
          <w:sz w:val="16"/>
          <w:szCs w:val="16"/>
        </w:rPr>
        <w:t>Eurostat</w:t>
      </w:r>
      <w:proofErr w:type="spellEnd"/>
      <w:r w:rsidRPr="000874C3">
        <w:rPr>
          <w:rFonts w:ascii="Arial" w:hAnsi="Arial" w:cs="Arial"/>
          <w:sz w:val="16"/>
          <w:szCs w:val="16"/>
        </w:rPr>
        <w:t>), Luxemburg 1996.</w:t>
      </w:r>
    </w:p>
    <w:p w:rsidR="000874C3" w:rsidRPr="000874C3" w:rsidRDefault="000874C3" w:rsidP="00044CD0">
      <w:pPr>
        <w:pStyle w:val="Normlnweb"/>
        <w:spacing w:before="0" w:beforeAutospacing="0" w:after="120" w:afterAutospacing="0"/>
        <w:jc w:val="both"/>
        <w:rPr>
          <w:rFonts w:ascii="Arial" w:hAnsi="Arial" w:cs="Arial"/>
          <w:b/>
          <w:sz w:val="16"/>
          <w:szCs w:val="16"/>
        </w:rPr>
      </w:pPr>
      <w:bookmarkStart w:id="4" w:name="8)%20M%C4%9B%C5%99en%C3%AD%20ve%20v%C4%9"/>
      <w:bookmarkEnd w:id="4"/>
      <w:r w:rsidRPr="000874C3">
        <w:rPr>
          <w:rFonts w:ascii="Arial" w:hAnsi="Arial" w:cs="Arial"/>
          <w:sz w:val="16"/>
          <w:szCs w:val="16"/>
        </w:rPr>
        <w:t>8) Měření ve vědeckých a technologických činnostech. Návrh standardních praktik pro provádění výzkumu a vývoje, OECD, Paříž 1994.</w:t>
      </w:r>
    </w:p>
    <w:sectPr w:rsidR="000874C3" w:rsidRPr="000874C3" w:rsidSect="007E77D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6FD" w:rsidRDefault="00FB36FD" w:rsidP="00B3465F">
      <w:pPr>
        <w:spacing w:after="0" w:line="240" w:lineRule="auto"/>
      </w:pPr>
      <w:r>
        <w:separator/>
      </w:r>
    </w:p>
  </w:endnote>
  <w:endnote w:type="continuationSeparator" w:id="0">
    <w:p w:rsidR="00FB36FD" w:rsidRDefault="00FB36FD" w:rsidP="00B346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6FD" w:rsidRDefault="00FB36FD" w:rsidP="00B3465F">
      <w:pPr>
        <w:spacing w:after="0" w:line="240" w:lineRule="auto"/>
      </w:pPr>
      <w:r>
        <w:separator/>
      </w:r>
    </w:p>
  </w:footnote>
  <w:footnote w:type="continuationSeparator" w:id="0">
    <w:p w:rsidR="00FB36FD" w:rsidRDefault="00FB36FD" w:rsidP="00B346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alt="http://www.czso.cz/icons/ecblank.gif" style="width:12.15pt;height:.5pt;visibility:visible;mso-wrap-style:square" o:bullet="t">
        <v:imagedata r:id="rId1" o:title="ecblank"/>
      </v:shape>
    </w:pict>
  </w:numPicBullet>
  <w:abstractNum w:abstractNumId="0">
    <w:nsid w:val="040B450A"/>
    <w:multiLevelType w:val="hybridMultilevel"/>
    <w:tmpl w:val="C0B42A70"/>
    <w:lvl w:ilvl="0" w:tplc="92A4048A">
      <w:start w:val="1"/>
      <w:numFmt w:val="bullet"/>
      <w:lvlText w:val=""/>
      <w:lvlPicBulletId w:val="0"/>
      <w:lvlJc w:val="left"/>
      <w:pPr>
        <w:tabs>
          <w:tab w:val="num" w:pos="720"/>
        </w:tabs>
        <w:ind w:left="720" w:hanging="360"/>
      </w:pPr>
      <w:rPr>
        <w:rFonts w:ascii="Symbol" w:hAnsi="Symbol" w:hint="default"/>
      </w:rPr>
    </w:lvl>
    <w:lvl w:ilvl="1" w:tplc="75D4BB34" w:tentative="1">
      <w:start w:val="1"/>
      <w:numFmt w:val="bullet"/>
      <w:lvlText w:val=""/>
      <w:lvlJc w:val="left"/>
      <w:pPr>
        <w:tabs>
          <w:tab w:val="num" w:pos="1440"/>
        </w:tabs>
        <w:ind w:left="1440" w:hanging="360"/>
      </w:pPr>
      <w:rPr>
        <w:rFonts w:ascii="Symbol" w:hAnsi="Symbol" w:hint="default"/>
      </w:rPr>
    </w:lvl>
    <w:lvl w:ilvl="2" w:tplc="3C96A820" w:tentative="1">
      <w:start w:val="1"/>
      <w:numFmt w:val="bullet"/>
      <w:lvlText w:val=""/>
      <w:lvlJc w:val="left"/>
      <w:pPr>
        <w:tabs>
          <w:tab w:val="num" w:pos="2160"/>
        </w:tabs>
        <w:ind w:left="2160" w:hanging="360"/>
      </w:pPr>
      <w:rPr>
        <w:rFonts w:ascii="Symbol" w:hAnsi="Symbol" w:hint="default"/>
      </w:rPr>
    </w:lvl>
    <w:lvl w:ilvl="3" w:tplc="67BC23DE" w:tentative="1">
      <w:start w:val="1"/>
      <w:numFmt w:val="bullet"/>
      <w:lvlText w:val=""/>
      <w:lvlJc w:val="left"/>
      <w:pPr>
        <w:tabs>
          <w:tab w:val="num" w:pos="2880"/>
        </w:tabs>
        <w:ind w:left="2880" w:hanging="360"/>
      </w:pPr>
      <w:rPr>
        <w:rFonts w:ascii="Symbol" w:hAnsi="Symbol" w:hint="default"/>
      </w:rPr>
    </w:lvl>
    <w:lvl w:ilvl="4" w:tplc="6C84680E" w:tentative="1">
      <w:start w:val="1"/>
      <w:numFmt w:val="bullet"/>
      <w:lvlText w:val=""/>
      <w:lvlJc w:val="left"/>
      <w:pPr>
        <w:tabs>
          <w:tab w:val="num" w:pos="3600"/>
        </w:tabs>
        <w:ind w:left="3600" w:hanging="360"/>
      </w:pPr>
      <w:rPr>
        <w:rFonts w:ascii="Symbol" w:hAnsi="Symbol" w:hint="default"/>
      </w:rPr>
    </w:lvl>
    <w:lvl w:ilvl="5" w:tplc="81EA6B30" w:tentative="1">
      <w:start w:val="1"/>
      <w:numFmt w:val="bullet"/>
      <w:lvlText w:val=""/>
      <w:lvlJc w:val="left"/>
      <w:pPr>
        <w:tabs>
          <w:tab w:val="num" w:pos="4320"/>
        </w:tabs>
        <w:ind w:left="4320" w:hanging="360"/>
      </w:pPr>
      <w:rPr>
        <w:rFonts w:ascii="Symbol" w:hAnsi="Symbol" w:hint="default"/>
      </w:rPr>
    </w:lvl>
    <w:lvl w:ilvl="6" w:tplc="7B9CB420" w:tentative="1">
      <w:start w:val="1"/>
      <w:numFmt w:val="bullet"/>
      <w:lvlText w:val=""/>
      <w:lvlJc w:val="left"/>
      <w:pPr>
        <w:tabs>
          <w:tab w:val="num" w:pos="5040"/>
        </w:tabs>
        <w:ind w:left="5040" w:hanging="360"/>
      </w:pPr>
      <w:rPr>
        <w:rFonts w:ascii="Symbol" w:hAnsi="Symbol" w:hint="default"/>
      </w:rPr>
    </w:lvl>
    <w:lvl w:ilvl="7" w:tplc="E7B0114C" w:tentative="1">
      <w:start w:val="1"/>
      <w:numFmt w:val="bullet"/>
      <w:lvlText w:val=""/>
      <w:lvlJc w:val="left"/>
      <w:pPr>
        <w:tabs>
          <w:tab w:val="num" w:pos="5760"/>
        </w:tabs>
        <w:ind w:left="5760" w:hanging="360"/>
      </w:pPr>
      <w:rPr>
        <w:rFonts w:ascii="Symbol" w:hAnsi="Symbol" w:hint="default"/>
      </w:rPr>
    </w:lvl>
    <w:lvl w:ilvl="8" w:tplc="E8209526" w:tentative="1">
      <w:start w:val="1"/>
      <w:numFmt w:val="bullet"/>
      <w:lvlText w:val=""/>
      <w:lvlJc w:val="left"/>
      <w:pPr>
        <w:tabs>
          <w:tab w:val="num" w:pos="6480"/>
        </w:tabs>
        <w:ind w:left="6480" w:hanging="360"/>
      </w:pPr>
      <w:rPr>
        <w:rFonts w:ascii="Symbol" w:hAnsi="Symbol" w:hint="default"/>
      </w:rPr>
    </w:lvl>
  </w:abstractNum>
  <w:abstractNum w:abstractNumId="1">
    <w:nsid w:val="0AD07F0A"/>
    <w:multiLevelType w:val="multilevel"/>
    <w:tmpl w:val="BD70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C35305"/>
    <w:multiLevelType w:val="multilevel"/>
    <w:tmpl w:val="54F21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footnotePr>
    <w:footnote w:id="-1"/>
    <w:footnote w:id="0"/>
  </w:footnotePr>
  <w:endnotePr>
    <w:endnote w:id="-1"/>
    <w:endnote w:id="0"/>
  </w:endnotePr>
  <w:compat/>
  <w:rsids>
    <w:rsidRoot w:val="00D83A91"/>
    <w:rsid w:val="0001460F"/>
    <w:rsid w:val="00022C69"/>
    <w:rsid w:val="00044CD0"/>
    <w:rsid w:val="000600A0"/>
    <w:rsid w:val="000874C3"/>
    <w:rsid w:val="000B28D5"/>
    <w:rsid w:val="00160DFF"/>
    <w:rsid w:val="00196B02"/>
    <w:rsid w:val="002923E0"/>
    <w:rsid w:val="002C3CC4"/>
    <w:rsid w:val="00325098"/>
    <w:rsid w:val="00376CAB"/>
    <w:rsid w:val="003F4635"/>
    <w:rsid w:val="00461D6A"/>
    <w:rsid w:val="004F23B3"/>
    <w:rsid w:val="00546FD0"/>
    <w:rsid w:val="005B62FB"/>
    <w:rsid w:val="00624D70"/>
    <w:rsid w:val="006C77FF"/>
    <w:rsid w:val="0077064B"/>
    <w:rsid w:val="007A302A"/>
    <w:rsid w:val="007E5285"/>
    <w:rsid w:val="007E77DF"/>
    <w:rsid w:val="0084755B"/>
    <w:rsid w:val="00872D18"/>
    <w:rsid w:val="00880F22"/>
    <w:rsid w:val="008F7731"/>
    <w:rsid w:val="009670D3"/>
    <w:rsid w:val="00A83C2A"/>
    <w:rsid w:val="00B3465F"/>
    <w:rsid w:val="00BE403A"/>
    <w:rsid w:val="00C51311"/>
    <w:rsid w:val="00CF2AB6"/>
    <w:rsid w:val="00D17BB7"/>
    <w:rsid w:val="00D81201"/>
    <w:rsid w:val="00D83A91"/>
    <w:rsid w:val="00E37873"/>
    <w:rsid w:val="00F41BB7"/>
    <w:rsid w:val="00F571A4"/>
    <w:rsid w:val="00FB36F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7DF"/>
  </w:style>
  <w:style w:type="paragraph" w:styleId="Nadpis4">
    <w:name w:val="heading 4"/>
    <w:basedOn w:val="Normln"/>
    <w:link w:val="Nadpis4Char"/>
    <w:uiPriority w:val="9"/>
    <w:qFormat/>
    <w:rsid w:val="000600A0"/>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83A91"/>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2923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23E0"/>
    <w:rPr>
      <w:rFonts w:ascii="Tahoma" w:hAnsi="Tahoma" w:cs="Tahoma"/>
      <w:sz w:val="16"/>
      <w:szCs w:val="16"/>
    </w:rPr>
  </w:style>
  <w:style w:type="paragraph" w:styleId="Odstavecseseznamem">
    <w:name w:val="List Paragraph"/>
    <w:basedOn w:val="Normln"/>
    <w:uiPriority w:val="34"/>
    <w:qFormat/>
    <w:rsid w:val="002923E0"/>
    <w:pPr>
      <w:ind w:left="720"/>
      <w:contextualSpacing/>
    </w:pPr>
  </w:style>
  <w:style w:type="character" w:customStyle="1" w:styleId="Nadpis4Char">
    <w:name w:val="Nadpis 4 Char"/>
    <w:basedOn w:val="Standardnpsmoodstavce"/>
    <w:link w:val="Nadpis4"/>
    <w:uiPriority w:val="9"/>
    <w:rsid w:val="000600A0"/>
    <w:rPr>
      <w:rFonts w:ascii="Times New Roman" w:eastAsia="Times New Roman" w:hAnsi="Times New Roman" w:cs="Times New Roman"/>
      <w:b/>
      <w:bCs/>
      <w:color w:val="000000"/>
      <w:sz w:val="24"/>
      <w:szCs w:val="24"/>
      <w:lang w:eastAsia="cs-CZ"/>
    </w:rPr>
  </w:style>
  <w:style w:type="character" w:styleId="Hypertextovodkaz">
    <w:name w:val="Hyperlink"/>
    <w:basedOn w:val="Standardnpsmoodstavce"/>
    <w:uiPriority w:val="99"/>
    <w:semiHidden/>
    <w:unhideWhenUsed/>
    <w:rsid w:val="000600A0"/>
    <w:rPr>
      <w:color w:val="0000FF"/>
      <w:u w:val="single"/>
    </w:rPr>
  </w:style>
  <w:style w:type="paragraph" w:styleId="Textpoznpodarou">
    <w:name w:val="footnote text"/>
    <w:basedOn w:val="Normln"/>
    <w:link w:val="TextpoznpodarouChar"/>
    <w:uiPriority w:val="99"/>
    <w:semiHidden/>
    <w:unhideWhenUsed/>
    <w:rsid w:val="00B3465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3465F"/>
    <w:rPr>
      <w:sz w:val="20"/>
      <w:szCs w:val="20"/>
    </w:rPr>
  </w:style>
  <w:style w:type="character" w:styleId="Znakapoznpodarou">
    <w:name w:val="footnote reference"/>
    <w:basedOn w:val="Standardnpsmoodstavce"/>
    <w:uiPriority w:val="99"/>
    <w:semiHidden/>
    <w:unhideWhenUsed/>
    <w:rsid w:val="00B3465F"/>
    <w:rPr>
      <w:vertAlign w:val="superscript"/>
    </w:rPr>
  </w:style>
</w:styles>
</file>

<file path=word/webSettings.xml><?xml version="1.0" encoding="utf-8"?>
<w:webSettings xmlns:r="http://schemas.openxmlformats.org/officeDocument/2006/relationships" xmlns:w="http://schemas.openxmlformats.org/wordprocessingml/2006/main">
  <w:divs>
    <w:div w:id="95102228">
      <w:bodyDiv w:val="1"/>
      <w:marLeft w:val="0"/>
      <w:marRight w:val="0"/>
      <w:marTop w:val="0"/>
      <w:marBottom w:val="0"/>
      <w:divBdr>
        <w:top w:val="none" w:sz="0" w:space="0" w:color="auto"/>
        <w:left w:val="none" w:sz="0" w:space="0" w:color="auto"/>
        <w:bottom w:val="none" w:sz="0" w:space="0" w:color="auto"/>
        <w:right w:val="none" w:sz="0" w:space="0" w:color="auto"/>
      </w:divBdr>
      <w:divsChild>
        <w:div w:id="1231035671">
          <w:marLeft w:val="0"/>
          <w:marRight w:val="0"/>
          <w:marTop w:val="0"/>
          <w:marBottom w:val="0"/>
          <w:divBdr>
            <w:top w:val="none" w:sz="0" w:space="0" w:color="auto"/>
            <w:left w:val="none" w:sz="0" w:space="0" w:color="auto"/>
            <w:bottom w:val="none" w:sz="0" w:space="0" w:color="auto"/>
            <w:right w:val="none" w:sz="0" w:space="0" w:color="auto"/>
          </w:divBdr>
          <w:divsChild>
            <w:div w:id="372118458">
              <w:marLeft w:val="0"/>
              <w:marRight w:val="0"/>
              <w:marTop w:val="0"/>
              <w:marBottom w:val="0"/>
              <w:divBdr>
                <w:top w:val="none" w:sz="0" w:space="0" w:color="auto"/>
                <w:left w:val="none" w:sz="0" w:space="0" w:color="auto"/>
                <w:bottom w:val="none" w:sz="0" w:space="0" w:color="auto"/>
                <w:right w:val="none" w:sz="0" w:space="0" w:color="auto"/>
              </w:divBdr>
              <w:divsChild>
                <w:div w:id="425999234">
                  <w:marLeft w:val="0"/>
                  <w:marRight w:val="0"/>
                  <w:marTop w:val="0"/>
                  <w:marBottom w:val="0"/>
                  <w:divBdr>
                    <w:top w:val="none" w:sz="0" w:space="0" w:color="auto"/>
                    <w:left w:val="none" w:sz="0" w:space="0" w:color="auto"/>
                    <w:bottom w:val="none" w:sz="0" w:space="0" w:color="auto"/>
                    <w:right w:val="none" w:sz="0" w:space="0" w:color="auto"/>
                  </w:divBdr>
                  <w:divsChild>
                    <w:div w:id="168102693">
                      <w:marLeft w:val="0"/>
                      <w:marRight w:val="0"/>
                      <w:marTop w:val="0"/>
                      <w:marBottom w:val="0"/>
                      <w:divBdr>
                        <w:top w:val="none" w:sz="0" w:space="0" w:color="auto"/>
                        <w:left w:val="none" w:sz="0" w:space="0" w:color="auto"/>
                        <w:bottom w:val="none" w:sz="0" w:space="0" w:color="auto"/>
                        <w:right w:val="none" w:sz="0" w:space="0" w:color="auto"/>
                      </w:divBdr>
                      <w:divsChild>
                        <w:div w:id="17859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917660">
      <w:bodyDiv w:val="1"/>
      <w:marLeft w:val="0"/>
      <w:marRight w:val="0"/>
      <w:marTop w:val="0"/>
      <w:marBottom w:val="0"/>
      <w:divBdr>
        <w:top w:val="none" w:sz="0" w:space="0" w:color="auto"/>
        <w:left w:val="none" w:sz="0" w:space="0" w:color="auto"/>
        <w:bottom w:val="none" w:sz="0" w:space="0" w:color="auto"/>
        <w:right w:val="none" w:sz="0" w:space="0" w:color="auto"/>
      </w:divBdr>
      <w:divsChild>
        <w:div w:id="1073240635">
          <w:marLeft w:val="0"/>
          <w:marRight w:val="0"/>
          <w:marTop w:val="0"/>
          <w:marBottom w:val="0"/>
          <w:divBdr>
            <w:top w:val="none" w:sz="0" w:space="0" w:color="auto"/>
            <w:left w:val="none" w:sz="0" w:space="0" w:color="auto"/>
            <w:bottom w:val="none" w:sz="0" w:space="0" w:color="auto"/>
            <w:right w:val="none" w:sz="0" w:space="0" w:color="auto"/>
          </w:divBdr>
          <w:divsChild>
            <w:div w:id="93746823">
              <w:marLeft w:val="0"/>
              <w:marRight w:val="0"/>
              <w:marTop w:val="0"/>
              <w:marBottom w:val="0"/>
              <w:divBdr>
                <w:top w:val="none" w:sz="0" w:space="0" w:color="auto"/>
                <w:left w:val="none" w:sz="0" w:space="0" w:color="auto"/>
                <w:bottom w:val="none" w:sz="0" w:space="0" w:color="auto"/>
                <w:right w:val="none" w:sz="0" w:space="0" w:color="auto"/>
              </w:divBdr>
              <w:divsChild>
                <w:div w:id="1399551244">
                  <w:marLeft w:val="0"/>
                  <w:marRight w:val="0"/>
                  <w:marTop w:val="0"/>
                  <w:marBottom w:val="0"/>
                  <w:divBdr>
                    <w:top w:val="none" w:sz="0" w:space="0" w:color="auto"/>
                    <w:left w:val="none" w:sz="0" w:space="0" w:color="auto"/>
                    <w:bottom w:val="none" w:sz="0" w:space="0" w:color="auto"/>
                    <w:right w:val="none" w:sz="0" w:space="0" w:color="auto"/>
                  </w:divBdr>
                  <w:divsChild>
                    <w:div w:id="1333332948">
                      <w:marLeft w:val="0"/>
                      <w:marRight w:val="0"/>
                      <w:marTop w:val="0"/>
                      <w:marBottom w:val="0"/>
                      <w:divBdr>
                        <w:top w:val="none" w:sz="0" w:space="0" w:color="auto"/>
                        <w:left w:val="none" w:sz="0" w:space="0" w:color="auto"/>
                        <w:bottom w:val="none" w:sz="0" w:space="0" w:color="auto"/>
                        <w:right w:val="none" w:sz="0" w:space="0" w:color="auto"/>
                      </w:divBdr>
                      <w:divsChild>
                        <w:div w:id="5865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219291">
      <w:bodyDiv w:val="1"/>
      <w:marLeft w:val="0"/>
      <w:marRight w:val="0"/>
      <w:marTop w:val="0"/>
      <w:marBottom w:val="0"/>
      <w:divBdr>
        <w:top w:val="none" w:sz="0" w:space="0" w:color="auto"/>
        <w:left w:val="none" w:sz="0" w:space="0" w:color="auto"/>
        <w:bottom w:val="none" w:sz="0" w:space="0" w:color="auto"/>
        <w:right w:val="none" w:sz="0" w:space="0" w:color="auto"/>
      </w:divBdr>
      <w:divsChild>
        <w:div w:id="1335912967">
          <w:marLeft w:val="0"/>
          <w:marRight w:val="0"/>
          <w:marTop w:val="0"/>
          <w:marBottom w:val="0"/>
          <w:divBdr>
            <w:top w:val="none" w:sz="0" w:space="0" w:color="auto"/>
            <w:left w:val="none" w:sz="0" w:space="0" w:color="auto"/>
            <w:bottom w:val="none" w:sz="0" w:space="0" w:color="auto"/>
            <w:right w:val="none" w:sz="0" w:space="0" w:color="auto"/>
          </w:divBdr>
          <w:divsChild>
            <w:div w:id="926378150">
              <w:marLeft w:val="0"/>
              <w:marRight w:val="0"/>
              <w:marTop w:val="0"/>
              <w:marBottom w:val="0"/>
              <w:divBdr>
                <w:top w:val="none" w:sz="0" w:space="0" w:color="auto"/>
                <w:left w:val="none" w:sz="0" w:space="0" w:color="auto"/>
                <w:bottom w:val="none" w:sz="0" w:space="0" w:color="auto"/>
                <w:right w:val="none" w:sz="0" w:space="0" w:color="auto"/>
              </w:divBdr>
              <w:divsChild>
                <w:div w:id="2079547390">
                  <w:marLeft w:val="0"/>
                  <w:marRight w:val="0"/>
                  <w:marTop w:val="0"/>
                  <w:marBottom w:val="0"/>
                  <w:divBdr>
                    <w:top w:val="none" w:sz="0" w:space="0" w:color="auto"/>
                    <w:left w:val="none" w:sz="0" w:space="0" w:color="auto"/>
                    <w:bottom w:val="none" w:sz="0" w:space="0" w:color="auto"/>
                    <w:right w:val="none" w:sz="0" w:space="0" w:color="auto"/>
                  </w:divBdr>
                  <w:divsChild>
                    <w:div w:id="334460773">
                      <w:marLeft w:val="0"/>
                      <w:marRight w:val="0"/>
                      <w:marTop w:val="0"/>
                      <w:marBottom w:val="0"/>
                      <w:divBdr>
                        <w:top w:val="none" w:sz="0" w:space="0" w:color="auto"/>
                        <w:left w:val="none" w:sz="0" w:space="0" w:color="auto"/>
                        <w:bottom w:val="none" w:sz="0" w:space="0" w:color="auto"/>
                        <w:right w:val="none" w:sz="0" w:space="0" w:color="auto"/>
                      </w:divBdr>
                      <w:divsChild>
                        <w:div w:id="11182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426114">
      <w:bodyDiv w:val="1"/>
      <w:marLeft w:val="0"/>
      <w:marRight w:val="0"/>
      <w:marTop w:val="0"/>
      <w:marBottom w:val="0"/>
      <w:divBdr>
        <w:top w:val="none" w:sz="0" w:space="0" w:color="auto"/>
        <w:left w:val="none" w:sz="0" w:space="0" w:color="auto"/>
        <w:bottom w:val="none" w:sz="0" w:space="0" w:color="auto"/>
        <w:right w:val="none" w:sz="0" w:space="0" w:color="auto"/>
      </w:divBdr>
      <w:divsChild>
        <w:div w:id="484903041">
          <w:marLeft w:val="0"/>
          <w:marRight w:val="0"/>
          <w:marTop w:val="0"/>
          <w:marBottom w:val="0"/>
          <w:divBdr>
            <w:top w:val="none" w:sz="0" w:space="0" w:color="auto"/>
            <w:left w:val="none" w:sz="0" w:space="0" w:color="auto"/>
            <w:bottom w:val="none" w:sz="0" w:space="0" w:color="auto"/>
            <w:right w:val="none" w:sz="0" w:space="0" w:color="auto"/>
          </w:divBdr>
          <w:divsChild>
            <w:div w:id="963074282">
              <w:marLeft w:val="0"/>
              <w:marRight w:val="0"/>
              <w:marTop w:val="0"/>
              <w:marBottom w:val="0"/>
              <w:divBdr>
                <w:top w:val="none" w:sz="0" w:space="0" w:color="auto"/>
                <w:left w:val="none" w:sz="0" w:space="0" w:color="auto"/>
                <w:bottom w:val="none" w:sz="0" w:space="0" w:color="auto"/>
                <w:right w:val="none" w:sz="0" w:space="0" w:color="auto"/>
              </w:divBdr>
              <w:divsChild>
                <w:div w:id="2079286310">
                  <w:marLeft w:val="0"/>
                  <w:marRight w:val="0"/>
                  <w:marTop w:val="0"/>
                  <w:marBottom w:val="0"/>
                  <w:divBdr>
                    <w:top w:val="none" w:sz="0" w:space="0" w:color="auto"/>
                    <w:left w:val="none" w:sz="0" w:space="0" w:color="auto"/>
                    <w:bottom w:val="none" w:sz="0" w:space="0" w:color="auto"/>
                    <w:right w:val="none" w:sz="0" w:space="0" w:color="auto"/>
                  </w:divBdr>
                  <w:divsChild>
                    <w:div w:id="791360092">
                      <w:marLeft w:val="0"/>
                      <w:marRight w:val="0"/>
                      <w:marTop w:val="0"/>
                      <w:marBottom w:val="0"/>
                      <w:divBdr>
                        <w:top w:val="none" w:sz="0" w:space="0" w:color="auto"/>
                        <w:left w:val="none" w:sz="0" w:space="0" w:color="auto"/>
                        <w:bottom w:val="none" w:sz="0" w:space="0" w:color="auto"/>
                        <w:right w:val="none" w:sz="0" w:space="0" w:color="auto"/>
                      </w:divBdr>
                      <w:divsChild>
                        <w:div w:id="19621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482572">
      <w:bodyDiv w:val="1"/>
      <w:marLeft w:val="0"/>
      <w:marRight w:val="0"/>
      <w:marTop w:val="0"/>
      <w:marBottom w:val="0"/>
      <w:divBdr>
        <w:top w:val="none" w:sz="0" w:space="0" w:color="auto"/>
        <w:left w:val="none" w:sz="0" w:space="0" w:color="auto"/>
        <w:bottom w:val="none" w:sz="0" w:space="0" w:color="auto"/>
        <w:right w:val="none" w:sz="0" w:space="0" w:color="auto"/>
      </w:divBdr>
      <w:divsChild>
        <w:div w:id="86121926">
          <w:marLeft w:val="0"/>
          <w:marRight w:val="0"/>
          <w:marTop w:val="0"/>
          <w:marBottom w:val="0"/>
          <w:divBdr>
            <w:top w:val="none" w:sz="0" w:space="0" w:color="auto"/>
            <w:left w:val="none" w:sz="0" w:space="0" w:color="auto"/>
            <w:bottom w:val="none" w:sz="0" w:space="0" w:color="auto"/>
            <w:right w:val="none" w:sz="0" w:space="0" w:color="auto"/>
          </w:divBdr>
          <w:divsChild>
            <w:div w:id="1939096841">
              <w:marLeft w:val="0"/>
              <w:marRight w:val="0"/>
              <w:marTop w:val="0"/>
              <w:marBottom w:val="0"/>
              <w:divBdr>
                <w:top w:val="none" w:sz="0" w:space="0" w:color="auto"/>
                <w:left w:val="none" w:sz="0" w:space="0" w:color="auto"/>
                <w:bottom w:val="none" w:sz="0" w:space="0" w:color="auto"/>
                <w:right w:val="none" w:sz="0" w:space="0" w:color="auto"/>
              </w:divBdr>
              <w:divsChild>
                <w:div w:id="446897447">
                  <w:marLeft w:val="0"/>
                  <w:marRight w:val="0"/>
                  <w:marTop w:val="0"/>
                  <w:marBottom w:val="0"/>
                  <w:divBdr>
                    <w:top w:val="none" w:sz="0" w:space="0" w:color="auto"/>
                    <w:left w:val="none" w:sz="0" w:space="0" w:color="auto"/>
                    <w:bottom w:val="none" w:sz="0" w:space="0" w:color="auto"/>
                    <w:right w:val="none" w:sz="0" w:space="0" w:color="auto"/>
                  </w:divBdr>
                  <w:divsChild>
                    <w:div w:id="749230841">
                      <w:marLeft w:val="0"/>
                      <w:marRight w:val="0"/>
                      <w:marTop w:val="0"/>
                      <w:marBottom w:val="0"/>
                      <w:divBdr>
                        <w:top w:val="none" w:sz="0" w:space="0" w:color="auto"/>
                        <w:left w:val="none" w:sz="0" w:space="0" w:color="auto"/>
                        <w:bottom w:val="none" w:sz="0" w:space="0" w:color="auto"/>
                        <w:right w:val="none" w:sz="0" w:space="0" w:color="auto"/>
                      </w:divBdr>
                      <w:divsChild>
                        <w:div w:id="18972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112">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8">
          <w:marLeft w:val="0"/>
          <w:marRight w:val="0"/>
          <w:marTop w:val="0"/>
          <w:marBottom w:val="0"/>
          <w:divBdr>
            <w:top w:val="none" w:sz="0" w:space="0" w:color="auto"/>
            <w:left w:val="none" w:sz="0" w:space="0" w:color="auto"/>
            <w:bottom w:val="none" w:sz="0" w:space="0" w:color="auto"/>
            <w:right w:val="none" w:sz="0" w:space="0" w:color="auto"/>
          </w:divBdr>
          <w:divsChild>
            <w:div w:id="236087963">
              <w:marLeft w:val="0"/>
              <w:marRight w:val="0"/>
              <w:marTop w:val="0"/>
              <w:marBottom w:val="0"/>
              <w:divBdr>
                <w:top w:val="none" w:sz="0" w:space="0" w:color="auto"/>
                <w:left w:val="none" w:sz="0" w:space="0" w:color="auto"/>
                <w:bottom w:val="none" w:sz="0" w:space="0" w:color="auto"/>
                <w:right w:val="none" w:sz="0" w:space="0" w:color="auto"/>
              </w:divBdr>
              <w:divsChild>
                <w:div w:id="1000111567">
                  <w:marLeft w:val="0"/>
                  <w:marRight w:val="0"/>
                  <w:marTop w:val="0"/>
                  <w:marBottom w:val="0"/>
                  <w:divBdr>
                    <w:top w:val="none" w:sz="0" w:space="0" w:color="auto"/>
                    <w:left w:val="none" w:sz="0" w:space="0" w:color="auto"/>
                    <w:bottom w:val="none" w:sz="0" w:space="0" w:color="auto"/>
                    <w:right w:val="none" w:sz="0" w:space="0" w:color="auto"/>
                  </w:divBdr>
                  <w:divsChild>
                    <w:div w:id="177279416">
                      <w:marLeft w:val="0"/>
                      <w:marRight w:val="0"/>
                      <w:marTop w:val="0"/>
                      <w:marBottom w:val="0"/>
                      <w:divBdr>
                        <w:top w:val="none" w:sz="0" w:space="0" w:color="auto"/>
                        <w:left w:val="none" w:sz="0" w:space="0" w:color="auto"/>
                        <w:bottom w:val="none" w:sz="0" w:space="0" w:color="auto"/>
                        <w:right w:val="none" w:sz="0" w:space="0" w:color="auto"/>
                      </w:divBdr>
                      <w:divsChild>
                        <w:div w:id="9067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220188">
      <w:bodyDiv w:val="1"/>
      <w:marLeft w:val="0"/>
      <w:marRight w:val="0"/>
      <w:marTop w:val="0"/>
      <w:marBottom w:val="0"/>
      <w:divBdr>
        <w:top w:val="none" w:sz="0" w:space="0" w:color="auto"/>
        <w:left w:val="none" w:sz="0" w:space="0" w:color="auto"/>
        <w:bottom w:val="none" w:sz="0" w:space="0" w:color="auto"/>
        <w:right w:val="none" w:sz="0" w:space="0" w:color="auto"/>
      </w:divBdr>
      <w:divsChild>
        <w:div w:id="1545095336">
          <w:marLeft w:val="0"/>
          <w:marRight w:val="0"/>
          <w:marTop w:val="0"/>
          <w:marBottom w:val="0"/>
          <w:divBdr>
            <w:top w:val="none" w:sz="0" w:space="0" w:color="auto"/>
            <w:left w:val="none" w:sz="0" w:space="0" w:color="auto"/>
            <w:bottom w:val="none" w:sz="0" w:space="0" w:color="auto"/>
            <w:right w:val="none" w:sz="0" w:space="0" w:color="auto"/>
          </w:divBdr>
          <w:divsChild>
            <w:div w:id="1153330116">
              <w:marLeft w:val="0"/>
              <w:marRight w:val="0"/>
              <w:marTop w:val="0"/>
              <w:marBottom w:val="0"/>
              <w:divBdr>
                <w:top w:val="none" w:sz="0" w:space="0" w:color="auto"/>
                <w:left w:val="none" w:sz="0" w:space="0" w:color="auto"/>
                <w:bottom w:val="none" w:sz="0" w:space="0" w:color="auto"/>
                <w:right w:val="none" w:sz="0" w:space="0" w:color="auto"/>
              </w:divBdr>
              <w:divsChild>
                <w:div w:id="410396650">
                  <w:marLeft w:val="0"/>
                  <w:marRight w:val="0"/>
                  <w:marTop w:val="0"/>
                  <w:marBottom w:val="0"/>
                  <w:divBdr>
                    <w:top w:val="none" w:sz="0" w:space="0" w:color="auto"/>
                    <w:left w:val="none" w:sz="0" w:space="0" w:color="auto"/>
                    <w:bottom w:val="none" w:sz="0" w:space="0" w:color="auto"/>
                    <w:right w:val="none" w:sz="0" w:space="0" w:color="auto"/>
                  </w:divBdr>
                  <w:divsChild>
                    <w:div w:id="373963040">
                      <w:marLeft w:val="0"/>
                      <w:marRight w:val="0"/>
                      <w:marTop w:val="0"/>
                      <w:marBottom w:val="0"/>
                      <w:divBdr>
                        <w:top w:val="none" w:sz="0" w:space="0" w:color="auto"/>
                        <w:left w:val="none" w:sz="0" w:space="0" w:color="auto"/>
                        <w:bottom w:val="none" w:sz="0" w:space="0" w:color="auto"/>
                        <w:right w:val="none" w:sz="0" w:space="0" w:color="auto"/>
                      </w:divBdr>
                      <w:divsChild>
                        <w:div w:id="40083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212B72-0B2C-4D63-8EE4-31F4C569B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532</Words>
  <Characters>3139</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3664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Lucie Kohoutová</dc:creator>
  <cp:lastModifiedBy>Ing. Lucie Kohoutová</cp:lastModifiedBy>
  <cp:revision>4</cp:revision>
  <dcterms:created xsi:type="dcterms:W3CDTF">2015-02-13T08:12:00Z</dcterms:created>
  <dcterms:modified xsi:type="dcterms:W3CDTF">2015-02-13T08:14:00Z</dcterms:modified>
</cp:coreProperties>
</file>