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0600A0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Úvod</w:t>
      </w:r>
    </w:p>
    <w:p w:rsidR="00B3465F" w:rsidRDefault="00B3465F" w:rsidP="00B3465F">
      <w:pPr>
        <w:spacing w:before="100" w:beforeAutospacing="1" w:after="100" w:afterAutospacing="1" w:line="240" w:lineRule="auto"/>
        <w:jc w:val="both"/>
        <w:outlineLvl w:val="3"/>
        <w:rPr>
          <w:rFonts w:ascii="Arial" w:hAnsi="Arial" w:cs="Arial"/>
          <w:sz w:val="20"/>
          <w:szCs w:val="20"/>
        </w:rPr>
      </w:pPr>
      <w:r w:rsidRPr="00B3465F">
        <w:rPr>
          <w:rFonts w:ascii="Arial" w:hAnsi="Arial" w:cs="Arial"/>
          <w:sz w:val="20"/>
          <w:szCs w:val="20"/>
        </w:rPr>
        <w:t xml:space="preserve">Český statistický úřad vydal v roce 1997 „Opatřením ČSÚ“ (částka 2/1997 Sb.) </w:t>
      </w:r>
      <w:r w:rsidRPr="00B3465F">
        <w:rPr>
          <w:rFonts w:ascii="Arial" w:hAnsi="Arial" w:cs="Arial"/>
          <w:i/>
          <w:iCs/>
          <w:sz w:val="20"/>
          <w:szCs w:val="20"/>
        </w:rPr>
        <w:t>Klasifikaci funkcí veřejnoprávních subjektů</w:t>
      </w:r>
      <w:r w:rsidRPr="00B3465F">
        <w:rPr>
          <w:rFonts w:ascii="Arial" w:hAnsi="Arial" w:cs="Arial"/>
          <w:sz w:val="20"/>
          <w:szCs w:val="20"/>
        </w:rPr>
        <w:t xml:space="preserve"> </w:t>
      </w:r>
      <w:r w:rsidRPr="00B3465F">
        <w:rPr>
          <w:rFonts w:ascii="Arial" w:hAnsi="Arial" w:cs="Arial"/>
          <w:b/>
          <w:bCs/>
          <w:sz w:val="20"/>
          <w:szCs w:val="20"/>
        </w:rPr>
        <w:t>CZ-COFOG</w:t>
      </w:r>
      <w:r w:rsidRPr="00B3465F">
        <w:rPr>
          <w:rFonts w:ascii="Arial" w:hAnsi="Arial" w:cs="Arial"/>
          <w:sz w:val="20"/>
          <w:szCs w:val="20"/>
        </w:rPr>
        <w:t xml:space="preserve">, vypracovanou na základě mezinárodního standardu COFOG - </w:t>
      </w:r>
      <w:proofErr w:type="spellStart"/>
      <w:r w:rsidRPr="00B3465F">
        <w:rPr>
          <w:rFonts w:ascii="Arial" w:hAnsi="Arial" w:cs="Arial"/>
          <w:sz w:val="20"/>
          <w:szCs w:val="20"/>
        </w:rPr>
        <w:t>Classification</w:t>
      </w:r>
      <w:proofErr w:type="spellEnd"/>
      <w:r w:rsidRPr="00B346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3465F">
        <w:rPr>
          <w:rFonts w:ascii="Arial" w:hAnsi="Arial" w:cs="Arial"/>
          <w:sz w:val="20"/>
          <w:szCs w:val="20"/>
        </w:rPr>
        <w:t>of</w:t>
      </w:r>
      <w:proofErr w:type="spellEnd"/>
      <w:r w:rsidRPr="00B346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3465F">
        <w:rPr>
          <w:rFonts w:ascii="Arial" w:hAnsi="Arial" w:cs="Arial"/>
          <w:sz w:val="20"/>
          <w:szCs w:val="20"/>
        </w:rPr>
        <w:t>the</w:t>
      </w:r>
      <w:proofErr w:type="spellEnd"/>
      <w:r w:rsidRPr="00B346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3465F">
        <w:rPr>
          <w:rFonts w:ascii="Arial" w:hAnsi="Arial" w:cs="Arial"/>
          <w:sz w:val="20"/>
          <w:szCs w:val="20"/>
        </w:rPr>
        <w:t>Functions</w:t>
      </w:r>
      <w:proofErr w:type="spellEnd"/>
      <w:r w:rsidRPr="00B346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3465F">
        <w:rPr>
          <w:rFonts w:ascii="Arial" w:hAnsi="Arial" w:cs="Arial"/>
          <w:sz w:val="20"/>
          <w:szCs w:val="20"/>
        </w:rPr>
        <w:t>of</w:t>
      </w:r>
      <w:proofErr w:type="spellEnd"/>
      <w:r w:rsidRPr="00B346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3465F">
        <w:rPr>
          <w:rFonts w:ascii="Arial" w:hAnsi="Arial" w:cs="Arial"/>
          <w:sz w:val="20"/>
          <w:szCs w:val="20"/>
        </w:rPr>
        <w:t>Government</w:t>
      </w:r>
      <w:proofErr w:type="spellEnd"/>
      <w:r w:rsidRPr="00B3465F">
        <w:rPr>
          <w:rFonts w:ascii="Arial" w:hAnsi="Arial" w:cs="Arial"/>
          <w:sz w:val="20"/>
          <w:szCs w:val="20"/>
        </w:rPr>
        <w:t xml:space="preserve"> (CZ v názvu znamená národní verzi standardu COFOG). Klasifikace COFOG je nedílnou součástí Systému národních účtů (SNA)</w:t>
      </w:r>
      <w:r w:rsidR="00DC6CC0">
        <w:rPr>
          <w:rFonts w:ascii="Arial" w:hAnsi="Arial" w:cs="Arial"/>
          <w:sz w:val="20"/>
          <w:szCs w:val="20"/>
          <w:vertAlign w:val="superscript"/>
        </w:rPr>
        <w:t>1)</w:t>
      </w:r>
      <w:r w:rsidRPr="00B3465F">
        <w:rPr>
          <w:rFonts w:ascii="Arial" w:hAnsi="Arial" w:cs="Arial"/>
          <w:sz w:val="20"/>
          <w:szCs w:val="20"/>
        </w:rPr>
        <w:t xml:space="preserve"> z roku 1993 jako jedna ze čtyř funkčních klasifikací (další tři klasifikace jsou COICOP, COPNI a COPP) určených zejména pro potřeby statistického zjišťování a mezinárodního porovnávání statistických dat.</w:t>
      </w:r>
    </w:p>
    <w:p w:rsidR="00B3465F" w:rsidRDefault="00B3465F" w:rsidP="00B3465F">
      <w:pPr>
        <w:spacing w:before="100" w:beforeAutospacing="1" w:after="100" w:afterAutospacing="1" w:line="240" w:lineRule="auto"/>
        <w:jc w:val="both"/>
        <w:outlineLvl w:val="3"/>
        <w:rPr>
          <w:rFonts w:ascii="Arial" w:hAnsi="Arial" w:cs="Arial"/>
          <w:sz w:val="20"/>
          <w:szCs w:val="20"/>
        </w:rPr>
      </w:pPr>
      <w:r w:rsidRPr="00B3465F">
        <w:rPr>
          <w:rFonts w:ascii="Arial" w:hAnsi="Arial" w:cs="Arial"/>
          <w:sz w:val="20"/>
          <w:szCs w:val="20"/>
        </w:rPr>
        <w:t xml:space="preserve">Aktualizovaná verze mezinárodního standardu COFOG byla schválena v březnu 1999 Statistickou komisí Spojených národů, podle které byla vypracována aktualizovaná národní verze CZ-COFOG. Vzhledem k četným změnám je tato vydávána jako druhé vydání pod novelizovaným názvem - </w:t>
      </w:r>
      <w:r w:rsidRPr="00B3465F">
        <w:rPr>
          <w:rFonts w:ascii="Arial" w:hAnsi="Arial" w:cs="Arial"/>
          <w:b/>
          <w:bCs/>
          <w:i/>
          <w:iCs/>
          <w:sz w:val="20"/>
          <w:szCs w:val="20"/>
        </w:rPr>
        <w:t>Klasifikace funkcí vládních institucí</w:t>
      </w:r>
      <w:r w:rsidRPr="00B3465F">
        <w:rPr>
          <w:rFonts w:ascii="Arial" w:hAnsi="Arial" w:cs="Arial"/>
          <w:sz w:val="20"/>
          <w:szCs w:val="20"/>
        </w:rPr>
        <w:t xml:space="preserve"> </w:t>
      </w:r>
      <w:r w:rsidRPr="00B3465F">
        <w:rPr>
          <w:rFonts w:ascii="Arial" w:hAnsi="Arial" w:cs="Arial"/>
          <w:b/>
          <w:bCs/>
          <w:sz w:val="20"/>
          <w:szCs w:val="20"/>
        </w:rPr>
        <w:t xml:space="preserve">CZ-COFOG </w:t>
      </w:r>
      <w:r w:rsidRPr="00B3465F">
        <w:rPr>
          <w:rFonts w:ascii="Arial" w:hAnsi="Arial" w:cs="Arial"/>
          <w:sz w:val="20"/>
          <w:szCs w:val="20"/>
        </w:rPr>
        <w:t xml:space="preserve">(tento název je v souladu s Číselníkem institucionálních sektorů a </w:t>
      </w:r>
      <w:proofErr w:type="spellStart"/>
      <w:r w:rsidRPr="00B3465F">
        <w:rPr>
          <w:rFonts w:ascii="Arial" w:hAnsi="Arial" w:cs="Arial"/>
          <w:sz w:val="20"/>
          <w:szCs w:val="20"/>
        </w:rPr>
        <w:t>subsektorů</w:t>
      </w:r>
      <w:proofErr w:type="spellEnd"/>
      <w:r w:rsidRPr="00B3465F">
        <w:rPr>
          <w:rFonts w:ascii="Arial" w:hAnsi="Arial" w:cs="Arial"/>
          <w:sz w:val="20"/>
          <w:szCs w:val="20"/>
        </w:rPr>
        <w:t>, vydaným „Opatřením ČSÚ“, částka 90/1997 Sb.), kde se užívá pojem „vládní instituce“, nik</w:t>
      </w:r>
      <w:r>
        <w:rPr>
          <w:rFonts w:ascii="Arial" w:hAnsi="Arial" w:cs="Arial"/>
          <w:sz w:val="20"/>
          <w:szCs w:val="20"/>
        </w:rPr>
        <w:t>oliv „veřejnoprávní subjekty“).</w:t>
      </w:r>
    </w:p>
    <w:p w:rsidR="00B3465F" w:rsidRDefault="00B3465F" w:rsidP="00B3465F">
      <w:pPr>
        <w:spacing w:before="100" w:beforeAutospacing="1" w:after="100" w:afterAutospacing="1" w:line="240" w:lineRule="auto"/>
        <w:jc w:val="both"/>
        <w:outlineLvl w:val="3"/>
        <w:rPr>
          <w:rFonts w:ascii="Arial" w:hAnsi="Arial" w:cs="Arial"/>
          <w:sz w:val="20"/>
          <w:szCs w:val="20"/>
        </w:rPr>
      </w:pPr>
      <w:r w:rsidRPr="00B3465F">
        <w:rPr>
          <w:rFonts w:ascii="Arial" w:hAnsi="Arial" w:cs="Arial"/>
          <w:sz w:val="20"/>
          <w:szCs w:val="20"/>
        </w:rPr>
        <w:t xml:space="preserve">Vydávaná klasifikace bude označována </w:t>
      </w:r>
      <w:r w:rsidRPr="00B3465F">
        <w:rPr>
          <w:rFonts w:ascii="Arial" w:hAnsi="Arial" w:cs="Arial"/>
          <w:b/>
          <w:bCs/>
          <w:sz w:val="20"/>
          <w:szCs w:val="20"/>
        </w:rPr>
        <w:t>CZ-COFOG (99)</w:t>
      </w:r>
      <w:r w:rsidRPr="00B3465F">
        <w:rPr>
          <w:rFonts w:ascii="Arial" w:hAnsi="Arial" w:cs="Arial"/>
          <w:sz w:val="20"/>
          <w:szCs w:val="20"/>
        </w:rPr>
        <w:t>. Číslo 99 za CZ-COFOG znamená poslední dvojčíslí roku vydání COFOG, tj. verze 1999, podle které byla národní verze aktualizována. Podle roku aktualizace mezinárodního standardu COFOG a následné aktualizace národní verze se bude měnit dvojčíslí za CZ-COFOG.</w:t>
      </w:r>
    </w:p>
    <w:p w:rsidR="00B3465F" w:rsidRDefault="00B3465F" w:rsidP="00B3465F">
      <w:pPr>
        <w:spacing w:before="100" w:beforeAutospacing="1" w:after="100" w:afterAutospacing="1" w:line="240" w:lineRule="auto"/>
        <w:jc w:val="both"/>
        <w:outlineLvl w:val="3"/>
        <w:rPr>
          <w:rFonts w:ascii="Arial" w:hAnsi="Arial" w:cs="Arial"/>
          <w:sz w:val="20"/>
          <w:szCs w:val="20"/>
        </w:rPr>
      </w:pPr>
      <w:r w:rsidRPr="00B3465F">
        <w:rPr>
          <w:rFonts w:ascii="Arial" w:hAnsi="Arial" w:cs="Arial"/>
          <w:sz w:val="20"/>
          <w:szCs w:val="20"/>
        </w:rPr>
        <w:t>Vzhledem k rozsáhlým změnám a úpravám, ke kterým došlo provedením aktualizace CZ-COFOG („Opatřením ČSÚ“, částka 76 /2001Sb.), je v části V. tohoto vydání uveden převodník mezi druhým vydáním CZ-COFOG (99) a prvním vydáním z roku 1997.</w:t>
      </w:r>
    </w:p>
    <w:p w:rsidR="00B3465F" w:rsidRDefault="00B3465F" w:rsidP="00B3465F">
      <w:pPr>
        <w:spacing w:before="100" w:beforeAutospacing="1" w:after="100" w:afterAutospacing="1" w:line="240" w:lineRule="auto"/>
        <w:jc w:val="both"/>
        <w:outlineLvl w:val="3"/>
        <w:rPr>
          <w:rFonts w:ascii="Arial" w:hAnsi="Arial" w:cs="Arial"/>
          <w:sz w:val="20"/>
          <w:szCs w:val="20"/>
        </w:rPr>
      </w:pPr>
      <w:r w:rsidRPr="00B3465F">
        <w:rPr>
          <w:rFonts w:ascii="Arial" w:hAnsi="Arial" w:cs="Arial"/>
          <w:sz w:val="20"/>
          <w:szCs w:val="20"/>
        </w:rPr>
        <w:t>V SNA z roku 1993 jsou používány</w:t>
      </w:r>
      <w:r w:rsidRPr="00B3465F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B3465F">
        <w:rPr>
          <w:rFonts w:ascii="Arial" w:hAnsi="Arial" w:cs="Arial"/>
          <w:sz w:val="20"/>
          <w:szCs w:val="20"/>
        </w:rPr>
        <w:t>pojmy</w:t>
      </w:r>
      <w:r w:rsidRPr="00B3465F">
        <w:rPr>
          <w:rFonts w:ascii="Arial" w:hAnsi="Arial" w:cs="Arial"/>
          <w:b/>
          <w:bCs/>
          <w:i/>
          <w:iCs/>
          <w:sz w:val="20"/>
          <w:szCs w:val="20"/>
        </w:rPr>
        <w:t xml:space="preserve"> účel</w:t>
      </w:r>
      <w:r w:rsidRPr="00B3465F">
        <w:rPr>
          <w:rFonts w:ascii="Arial" w:hAnsi="Arial" w:cs="Arial"/>
          <w:sz w:val="20"/>
          <w:szCs w:val="20"/>
        </w:rPr>
        <w:t xml:space="preserve"> a </w:t>
      </w:r>
      <w:r w:rsidRPr="00B3465F">
        <w:rPr>
          <w:rFonts w:ascii="Arial" w:hAnsi="Arial" w:cs="Arial"/>
          <w:b/>
          <w:bCs/>
          <w:i/>
          <w:iCs/>
          <w:sz w:val="20"/>
          <w:szCs w:val="20"/>
        </w:rPr>
        <w:t>funkce</w:t>
      </w:r>
      <w:r w:rsidRPr="00B3465F">
        <w:rPr>
          <w:rFonts w:ascii="Arial" w:hAnsi="Arial" w:cs="Arial"/>
          <w:sz w:val="20"/>
          <w:szCs w:val="20"/>
        </w:rPr>
        <w:t xml:space="preserve"> jako vzájemně zaměnitelné (</w:t>
      </w:r>
      <w:r w:rsidRPr="00B3465F">
        <w:rPr>
          <w:rFonts w:ascii="Arial" w:hAnsi="Arial" w:cs="Arial"/>
          <w:b/>
          <w:bCs/>
          <w:i/>
          <w:iCs/>
          <w:sz w:val="20"/>
          <w:szCs w:val="20"/>
        </w:rPr>
        <w:t>předmět</w:t>
      </w:r>
      <w:r w:rsidRPr="00B3465F">
        <w:rPr>
          <w:rFonts w:ascii="Arial" w:hAnsi="Arial" w:cs="Arial"/>
          <w:sz w:val="20"/>
          <w:szCs w:val="20"/>
        </w:rPr>
        <w:t xml:space="preserve"> byl použit v </w:t>
      </w:r>
      <w:proofErr w:type="gramStart"/>
      <w:r w:rsidRPr="00B3465F">
        <w:rPr>
          <w:rFonts w:ascii="Arial" w:hAnsi="Arial" w:cs="Arial"/>
          <w:sz w:val="20"/>
          <w:szCs w:val="20"/>
        </w:rPr>
        <w:t>SNA</w:t>
      </w:r>
      <w:proofErr w:type="gramEnd"/>
      <w:r w:rsidRPr="00B3465F">
        <w:rPr>
          <w:rFonts w:ascii="Arial" w:hAnsi="Arial" w:cs="Arial"/>
          <w:sz w:val="20"/>
          <w:szCs w:val="20"/>
        </w:rPr>
        <w:t xml:space="preserve"> roku 1968). Tyto tři pojmy byly využity k vyjádření stejného významu - tj. sociálně-ekonomických cílů, kterých vládní instituce chtějí dosáhnout prostřednictvím různých druhů výdajů. Současné třídění podle </w:t>
      </w:r>
      <w:r w:rsidRPr="00B3465F">
        <w:rPr>
          <w:rFonts w:ascii="Arial" w:hAnsi="Arial" w:cs="Arial"/>
          <w:b/>
          <w:bCs/>
          <w:i/>
          <w:iCs/>
          <w:sz w:val="20"/>
          <w:szCs w:val="20"/>
        </w:rPr>
        <w:t>funkce</w:t>
      </w:r>
      <w:r w:rsidRPr="00B3465F">
        <w:rPr>
          <w:rFonts w:ascii="Arial" w:hAnsi="Arial" w:cs="Arial"/>
          <w:i/>
          <w:iCs/>
          <w:sz w:val="20"/>
          <w:szCs w:val="20"/>
        </w:rPr>
        <w:t xml:space="preserve"> </w:t>
      </w:r>
      <w:r w:rsidRPr="00B3465F">
        <w:rPr>
          <w:rFonts w:ascii="Arial" w:hAnsi="Arial" w:cs="Arial"/>
          <w:sz w:val="20"/>
          <w:szCs w:val="20"/>
        </w:rPr>
        <w:t xml:space="preserve">je v souladu s navrženou změnou struktury vhodnější. Plyne to i ze skutečnosti, že termín </w:t>
      </w:r>
      <w:r w:rsidRPr="00B3465F">
        <w:rPr>
          <w:rFonts w:ascii="Arial" w:hAnsi="Arial" w:cs="Arial"/>
          <w:b/>
          <w:bCs/>
          <w:i/>
          <w:iCs/>
          <w:sz w:val="20"/>
          <w:szCs w:val="20"/>
        </w:rPr>
        <w:t>účel</w:t>
      </w:r>
      <w:r w:rsidRPr="00B3465F">
        <w:rPr>
          <w:rFonts w:ascii="Arial" w:hAnsi="Arial" w:cs="Arial"/>
          <w:i/>
          <w:iCs/>
          <w:sz w:val="20"/>
          <w:szCs w:val="20"/>
        </w:rPr>
        <w:t xml:space="preserve"> </w:t>
      </w:r>
      <w:r w:rsidRPr="00B3465F">
        <w:rPr>
          <w:rFonts w:ascii="Arial" w:hAnsi="Arial" w:cs="Arial"/>
          <w:sz w:val="20"/>
          <w:szCs w:val="20"/>
        </w:rPr>
        <w:t>může znamenat cokoli od dlouhodobého cíle politiky, až po krátkodobá opatření z</w:t>
      </w:r>
      <w:r>
        <w:rPr>
          <w:rFonts w:ascii="Arial" w:hAnsi="Arial" w:cs="Arial"/>
          <w:sz w:val="20"/>
          <w:szCs w:val="20"/>
        </w:rPr>
        <w:t>aměřená k dosažení tohoto cíle.</w:t>
      </w:r>
      <w:bookmarkStart w:id="0" w:name="1)%20System%20of%20National%20Accounts%2"/>
      <w:bookmarkEnd w:id="0"/>
    </w:p>
    <w:p w:rsidR="00DC6CC0" w:rsidRDefault="00DC6CC0" w:rsidP="00B3465F">
      <w:pPr>
        <w:spacing w:before="100" w:beforeAutospacing="1" w:after="100" w:afterAutospacing="1" w:line="240" w:lineRule="auto"/>
        <w:jc w:val="both"/>
        <w:outlineLvl w:val="3"/>
        <w:rPr>
          <w:rFonts w:ascii="Arial" w:hAnsi="Arial" w:cs="Arial"/>
          <w:sz w:val="20"/>
          <w:szCs w:val="20"/>
        </w:rPr>
      </w:pPr>
    </w:p>
    <w:p w:rsidR="00DC6CC0" w:rsidRDefault="00DC6CC0" w:rsidP="00B3465F">
      <w:pPr>
        <w:spacing w:before="100" w:beforeAutospacing="1" w:after="100" w:afterAutospacing="1" w:line="240" w:lineRule="auto"/>
        <w:jc w:val="both"/>
        <w:outlineLvl w:val="3"/>
        <w:rPr>
          <w:rFonts w:ascii="Arial" w:hAnsi="Arial" w:cs="Arial"/>
          <w:sz w:val="20"/>
          <w:szCs w:val="20"/>
        </w:rPr>
      </w:pPr>
    </w:p>
    <w:p w:rsidR="00DC6CC0" w:rsidRDefault="00DC6CC0" w:rsidP="00B3465F">
      <w:pPr>
        <w:spacing w:before="100" w:beforeAutospacing="1" w:after="100" w:afterAutospacing="1" w:line="240" w:lineRule="auto"/>
        <w:jc w:val="both"/>
        <w:outlineLvl w:val="3"/>
        <w:rPr>
          <w:rFonts w:ascii="Arial" w:hAnsi="Arial" w:cs="Arial"/>
          <w:sz w:val="20"/>
          <w:szCs w:val="20"/>
        </w:rPr>
      </w:pPr>
    </w:p>
    <w:p w:rsidR="00DC6CC0" w:rsidRDefault="00DC6CC0" w:rsidP="00B3465F">
      <w:pPr>
        <w:spacing w:before="100" w:beforeAutospacing="1" w:after="100" w:afterAutospacing="1" w:line="240" w:lineRule="auto"/>
        <w:jc w:val="both"/>
        <w:outlineLvl w:val="3"/>
        <w:rPr>
          <w:rFonts w:ascii="Arial" w:hAnsi="Arial" w:cs="Arial"/>
          <w:sz w:val="20"/>
          <w:szCs w:val="20"/>
        </w:rPr>
      </w:pPr>
    </w:p>
    <w:p w:rsidR="00DC6CC0" w:rsidRDefault="00DC6CC0" w:rsidP="00B3465F">
      <w:pPr>
        <w:spacing w:before="100" w:beforeAutospacing="1" w:after="100" w:afterAutospacing="1" w:line="240" w:lineRule="auto"/>
        <w:jc w:val="both"/>
        <w:outlineLvl w:val="3"/>
        <w:rPr>
          <w:rFonts w:ascii="Arial" w:hAnsi="Arial" w:cs="Arial"/>
          <w:sz w:val="20"/>
          <w:szCs w:val="20"/>
        </w:rPr>
      </w:pPr>
    </w:p>
    <w:p w:rsidR="00DC6CC0" w:rsidRDefault="00DC6CC0" w:rsidP="00B3465F">
      <w:pPr>
        <w:spacing w:before="100" w:beforeAutospacing="1" w:after="100" w:afterAutospacing="1" w:line="240" w:lineRule="auto"/>
        <w:jc w:val="both"/>
        <w:outlineLvl w:val="3"/>
        <w:rPr>
          <w:rFonts w:ascii="Arial" w:hAnsi="Arial" w:cs="Arial"/>
          <w:sz w:val="20"/>
          <w:szCs w:val="20"/>
        </w:rPr>
      </w:pPr>
    </w:p>
    <w:p w:rsidR="00DC6CC0" w:rsidRDefault="00DC6CC0" w:rsidP="00B3465F">
      <w:pPr>
        <w:spacing w:before="100" w:beforeAutospacing="1" w:after="100" w:afterAutospacing="1" w:line="240" w:lineRule="auto"/>
        <w:jc w:val="both"/>
        <w:outlineLvl w:val="3"/>
        <w:rPr>
          <w:rFonts w:ascii="Arial" w:hAnsi="Arial" w:cs="Arial"/>
          <w:sz w:val="20"/>
          <w:szCs w:val="20"/>
        </w:rPr>
      </w:pPr>
    </w:p>
    <w:p w:rsidR="00DC6CC0" w:rsidRDefault="00DC6CC0" w:rsidP="00B3465F">
      <w:pPr>
        <w:spacing w:before="100" w:beforeAutospacing="1" w:after="100" w:afterAutospacing="1" w:line="240" w:lineRule="auto"/>
        <w:jc w:val="both"/>
        <w:outlineLvl w:val="3"/>
        <w:rPr>
          <w:rFonts w:ascii="Arial" w:hAnsi="Arial" w:cs="Arial"/>
          <w:sz w:val="20"/>
          <w:szCs w:val="20"/>
        </w:rPr>
      </w:pPr>
    </w:p>
    <w:p w:rsidR="00DC6CC0" w:rsidRDefault="00DC6CC0" w:rsidP="00B3465F">
      <w:pPr>
        <w:spacing w:before="100" w:beforeAutospacing="1" w:after="100" w:afterAutospacing="1" w:line="240" w:lineRule="auto"/>
        <w:jc w:val="both"/>
        <w:outlineLvl w:val="3"/>
        <w:rPr>
          <w:rFonts w:ascii="Arial" w:hAnsi="Arial" w:cs="Arial"/>
          <w:sz w:val="20"/>
          <w:szCs w:val="20"/>
        </w:rPr>
      </w:pPr>
    </w:p>
    <w:p w:rsidR="00DC6CC0" w:rsidRDefault="00DC6CC0" w:rsidP="00B3465F">
      <w:pPr>
        <w:spacing w:before="100" w:beforeAutospacing="1" w:after="100" w:afterAutospacing="1" w:line="240" w:lineRule="auto"/>
        <w:jc w:val="both"/>
        <w:outlineLvl w:val="3"/>
        <w:rPr>
          <w:rFonts w:ascii="Arial" w:hAnsi="Arial" w:cs="Arial"/>
          <w:sz w:val="20"/>
          <w:szCs w:val="20"/>
        </w:rPr>
      </w:pPr>
    </w:p>
    <w:p w:rsidR="00DC6CC0" w:rsidRDefault="00DC6CC0" w:rsidP="00B3465F">
      <w:pPr>
        <w:spacing w:before="100" w:beforeAutospacing="1" w:after="100" w:afterAutospacing="1" w:line="240" w:lineRule="auto"/>
        <w:jc w:val="both"/>
        <w:outlineLvl w:val="3"/>
        <w:rPr>
          <w:rFonts w:ascii="Arial" w:hAnsi="Arial" w:cs="Arial"/>
          <w:sz w:val="20"/>
          <w:szCs w:val="20"/>
        </w:rPr>
      </w:pPr>
    </w:p>
    <w:p w:rsidR="00DC6CC0" w:rsidRPr="00B3465F" w:rsidRDefault="00DC6CC0" w:rsidP="00B3465F">
      <w:pPr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color w:val="000000"/>
          <w:sz w:val="16"/>
          <w:szCs w:val="16"/>
          <w:lang w:eastAsia="cs-CZ"/>
        </w:rPr>
      </w:pPr>
      <w:r>
        <w:rPr>
          <w:rFonts w:ascii="Arial" w:hAnsi="Arial" w:cs="Arial"/>
          <w:sz w:val="16"/>
          <w:szCs w:val="16"/>
        </w:rPr>
        <w:t xml:space="preserve">1) </w:t>
      </w:r>
      <w:proofErr w:type="spellStart"/>
      <w:r w:rsidRPr="00B3465F">
        <w:rPr>
          <w:rFonts w:ascii="Arial" w:hAnsi="Arial" w:cs="Arial"/>
          <w:sz w:val="16"/>
          <w:szCs w:val="16"/>
        </w:rPr>
        <w:t>System</w:t>
      </w:r>
      <w:proofErr w:type="spellEnd"/>
      <w:r w:rsidRPr="00B3465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3465F">
        <w:rPr>
          <w:rFonts w:ascii="Arial" w:hAnsi="Arial" w:cs="Arial"/>
          <w:sz w:val="16"/>
          <w:szCs w:val="16"/>
        </w:rPr>
        <w:t>of</w:t>
      </w:r>
      <w:proofErr w:type="spellEnd"/>
      <w:r w:rsidRPr="00B3465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3465F">
        <w:rPr>
          <w:rFonts w:ascii="Arial" w:hAnsi="Arial" w:cs="Arial"/>
          <w:sz w:val="16"/>
          <w:szCs w:val="16"/>
        </w:rPr>
        <w:t>National</w:t>
      </w:r>
      <w:proofErr w:type="spellEnd"/>
      <w:r w:rsidRPr="00B3465F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3465F">
        <w:rPr>
          <w:rFonts w:ascii="Arial" w:hAnsi="Arial" w:cs="Arial"/>
          <w:sz w:val="16"/>
          <w:szCs w:val="16"/>
        </w:rPr>
        <w:t>Accounts</w:t>
      </w:r>
      <w:proofErr w:type="spellEnd"/>
      <w:r w:rsidRPr="00B3465F">
        <w:rPr>
          <w:rFonts w:ascii="Arial" w:hAnsi="Arial" w:cs="Arial"/>
          <w:sz w:val="16"/>
          <w:szCs w:val="16"/>
        </w:rPr>
        <w:t xml:space="preserve"> 1993 (Komise Evropských společenství, Mezinárodní měnový fond, Organizace pro hospodářskou spolupráci a rozvoj, Spojené národy, Světová banka)</w:t>
      </w:r>
    </w:p>
    <w:sectPr w:rsidR="00DC6CC0" w:rsidRPr="00B3465F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45E" w:rsidRDefault="0004145E" w:rsidP="00B3465F">
      <w:pPr>
        <w:spacing w:after="0" w:line="240" w:lineRule="auto"/>
      </w:pPr>
      <w:r>
        <w:separator/>
      </w:r>
    </w:p>
  </w:endnote>
  <w:endnote w:type="continuationSeparator" w:id="0">
    <w:p w:rsidR="0004145E" w:rsidRDefault="0004145E" w:rsidP="00B34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45E" w:rsidRDefault="0004145E" w:rsidP="00B3465F">
      <w:pPr>
        <w:spacing w:after="0" w:line="240" w:lineRule="auto"/>
      </w:pPr>
      <w:r>
        <w:separator/>
      </w:r>
    </w:p>
  </w:footnote>
  <w:footnote w:type="continuationSeparator" w:id="0">
    <w:p w:rsidR="0004145E" w:rsidRDefault="0004145E" w:rsidP="00B34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A91"/>
    <w:rsid w:val="00022C69"/>
    <w:rsid w:val="0004145E"/>
    <w:rsid w:val="000600A0"/>
    <w:rsid w:val="000B28D5"/>
    <w:rsid w:val="00196B02"/>
    <w:rsid w:val="002923E0"/>
    <w:rsid w:val="00546FD0"/>
    <w:rsid w:val="005B62FB"/>
    <w:rsid w:val="006C77FF"/>
    <w:rsid w:val="007E5285"/>
    <w:rsid w:val="007E77DF"/>
    <w:rsid w:val="00880F22"/>
    <w:rsid w:val="008F7731"/>
    <w:rsid w:val="009670D3"/>
    <w:rsid w:val="00B3465F"/>
    <w:rsid w:val="00CF2AB6"/>
    <w:rsid w:val="00D83A91"/>
    <w:rsid w:val="00DA1B71"/>
    <w:rsid w:val="00DC6CC0"/>
    <w:rsid w:val="00E82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3465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3465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3465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3FCF93-34CE-4A52-B9AB-FC9C56018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338</Words>
  <Characters>1995</Characters>
  <Application>Microsoft Office Word</Application>
  <DocSecurity>0</DocSecurity>
  <Lines>16</Lines>
  <Paragraphs>4</Paragraphs>
  <ScaleCrop>false</ScaleCrop>
  <Company>ČSÚ</Company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9</cp:revision>
  <dcterms:created xsi:type="dcterms:W3CDTF">2014-12-03T09:52:00Z</dcterms:created>
  <dcterms:modified xsi:type="dcterms:W3CDTF">2015-02-12T15:26:00Z</dcterms:modified>
</cp:coreProperties>
</file>