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C05F5A" w:rsidRDefault="00C05F5A" w:rsidP="00D83A91">
      <w:pPr>
        <w:jc w:val="both"/>
        <w:rPr>
          <w:rFonts w:ascii="Arial" w:hAnsi="Arial" w:cs="Arial"/>
          <w:b/>
          <w:sz w:val="32"/>
          <w:szCs w:val="32"/>
        </w:rPr>
      </w:pPr>
      <w:r w:rsidRPr="00C05F5A">
        <w:rPr>
          <w:rFonts w:ascii="Arial" w:hAnsi="Arial" w:cs="Arial"/>
          <w:b/>
          <w:sz w:val="32"/>
          <w:szCs w:val="32"/>
        </w:rPr>
        <w:t>Úvod</w:t>
      </w:r>
    </w:p>
    <w:p w:rsidR="00C05F5A" w:rsidRDefault="00C05F5A" w:rsidP="00D83A91">
      <w:pPr>
        <w:jc w:val="both"/>
        <w:rPr>
          <w:rFonts w:ascii="Arial" w:hAnsi="Arial" w:cs="Arial"/>
          <w:sz w:val="20"/>
          <w:szCs w:val="20"/>
        </w:rPr>
      </w:pPr>
      <w:r w:rsidRPr="00C05F5A">
        <w:rPr>
          <w:rFonts w:ascii="Arial" w:hAnsi="Arial" w:cs="Arial"/>
          <w:b/>
          <w:bCs/>
          <w:sz w:val="20"/>
          <w:szCs w:val="20"/>
        </w:rPr>
        <w:t>Klasifikace NUTS</w:t>
      </w:r>
      <w:r w:rsidRPr="00C05F5A">
        <w:rPr>
          <w:rFonts w:ascii="Arial" w:hAnsi="Arial" w:cs="Arial"/>
          <w:sz w:val="20"/>
          <w:szCs w:val="20"/>
        </w:rPr>
        <w:t xml:space="preserve"> (La </w:t>
      </w:r>
      <w:proofErr w:type="spellStart"/>
      <w:r w:rsidRPr="00C05F5A">
        <w:rPr>
          <w:rFonts w:ascii="Arial" w:hAnsi="Arial" w:cs="Arial"/>
          <w:sz w:val="20"/>
          <w:szCs w:val="20"/>
        </w:rPr>
        <w:t>Nomenclature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 des </w:t>
      </w:r>
      <w:proofErr w:type="spellStart"/>
      <w:r w:rsidRPr="00C05F5A">
        <w:rPr>
          <w:rFonts w:ascii="Arial" w:hAnsi="Arial" w:cs="Arial"/>
          <w:sz w:val="20"/>
          <w:szCs w:val="20"/>
        </w:rPr>
        <w:t>Unités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F5A">
        <w:rPr>
          <w:rFonts w:ascii="Arial" w:hAnsi="Arial" w:cs="Arial"/>
          <w:sz w:val="20"/>
          <w:szCs w:val="20"/>
        </w:rPr>
        <w:t>Territoriales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05F5A">
        <w:rPr>
          <w:rFonts w:ascii="Arial" w:hAnsi="Arial" w:cs="Arial"/>
          <w:sz w:val="20"/>
          <w:szCs w:val="20"/>
        </w:rPr>
        <w:t>Statistiques</w:t>
      </w:r>
      <w:proofErr w:type="spellEnd"/>
      <w:r w:rsidRPr="00C05F5A">
        <w:rPr>
          <w:rFonts w:ascii="Arial" w:hAnsi="Arial" w:cs="Arial"/>
          <w:sz w:val="20"/>
          <w:szCs w:val="20"/>
        </w:rPr>
        <w:t>) byla zavedena Statistickým úřadem Evropských společenství (</w:t>
      </w:r>
      <w:proofErr w:type="spellStart"/>
      <w:r w:rsidRPr="00C05F5A">
        <w:rPr>
          <w:rFonts w:ascii="Arial" w:hAnsi="Arial" w:cs="Arial"/>
          <w:sz w:val="20"/>
          <w:szCs w:val="20"/>
        </w:rPr>
        <w:t>Eurostatem</w:t>
      </w:r>
      <w:proofErr w:type="spellEnd"/>
      <w:r w:rsidRPr="00C05F5A">
        <w:rPr>
          <w:rFonts w:ascii="Arial" w:hAnsi="Arial" w:cs="Arial"/>
          <w:sz w:val="20"/>
          <w:szCs w:val="20"/>
        </w:rPr>
        <w:t>) ve spolupráci s ostatními orgány EU pro potřeby klasifikování jednotné unifikované struktury územních jednotek. Konstrukce klasifikace vycházela z</w:t>
      </w:r>
      <w:r>
        <w:rPr>
          <w:rFonts w:ascii="Arial" w:hAnsi="Arial" w:cs="Arial"/>
          <w:sz w:val="20"/>
          <w:szCs w:val="20"/>
        </w:rPr>
        <w:t> </w:t>
      </w:r>
      <w:r w:rsidRPr="00C05F5A">
        <w:rPr>
          <w:rFonts w:ascii="Arial" w:hAnsi="Arial" w:cs="Arial"/>
          <w:sz w:val="20"/>
          <w:szCs w:val="20"/>
        </w:rPr>
        <w:t xml:space="preserve">jednotných metodických principů </w:t>
      </w:r>
      <w:proofErr w:type="spellStart"/>
      <w:r w:rsidRPr="00C05F5A">
        <w:rPr>
          <w:rFonts w:ascii="Arial" w:hAnsi="Arial" w:cs="Arial"/>
          <w:sz w:val="20"/>
          <w:szCs w:val="20"/>
        </w:rPr>
        <w:t>Eurostatu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 s přihlédnutím k administrativnímu uspořádání konkrétního státu.</w:t>
      </w:r>
    </w:p>
    <w:p w:rsidR="00C05F5A" w:rsidRDefault="00C05F5A" w:rsidP="00D83A91">
      <w:pPr>
        <w:jc w:val="both"/>
        <w:rPr>
          <w:rFonts w:ascii="Arial" w:hAnsi="Arial" w:cs="Arial"/>
          <w:sz w:val="20"/>
          <w:szCs w:val="20"/>
        </w:rPr>
      </w:pPr>
      <w:r w:rsidRPr="00C05F5A">
        <w:rPr>
          <w:rFonts w:ascii="Arial" w:hAnsi="Arial" w:cs="Arial"/>
          <w:sz w:val="20"/>
          <w:szCs w:val="20"/>
        </w:rPr>
        <w:t xml:space="preserve">Dnem 1. ledna 2000 vstoupila v České republice v platnost </w:t>
      </w:r>
      <w:r w:rsidRPr="00C05F5A">
        <w:rPr>
          <w:rFonts w:ascii="Arial" w:hAnsi="Arial" w:cs="Arial"/>
          <w:b/>
          <w:bCs/>
          <w:sz w:val="20"/>
          <w:szCs w:val="20"/>
        </w:rPr>
        <w:t>Klasifikace územních statistických jednotek CZ-NUTS</w:t>
      </w:r>
      <w:r w:rsidRPr="00C05F5A">
        <w:rPr>
          <w:rFonts w:ascii="Arial" w:hAnsi="Arial" w:cs="Arial"/>
          <w:sz w:val="20"/>
          <w:szCs w:val="20"/>
        </w:rPr>
        <w:t>, která nahradila do té doby platný číselník krajů a okresů (ČKO) a zavedla systém klasifikace územních statistických jednotek používaný v zemích Evropské unie. Podchytila současně nově vzniklé územně správní uspořádání České republiky (14 krajů).</w:t>
      </w:r>
    </w:p>
    <w:p w:rsidR="00C05F5A" w:rsidRDefault="00C05F5A" w:rsidP="00D83A91">
      <w:pPr>
        <w:jc w:val="both"/>
        <w:rPr>
          <w:rFonts w:ascii="Arial" w:hAnsi="Arial" w:cs="Arial"/>
          <w:sz w:val="20"/>
          <w:szCs w:val="20"/>
        </w:rPr>
      </w:pPr>
      <w:r w:rsidRPr="00C05F5A">
        <w:rPr>
          <w:rFonts w:ascii="Arial" w:hAnsi="Arial" w:cs="Arial"/>
          <w:b/>
          <w:bCs/>
          <w:sz w:val="20"/>
          <w:szCs w:val="20"/>
        </w:rPr>
        <w:t>Vymezení statistických územních jednotek</w:t>
      </w:r>
      <w:r w:rsidRPr="00C05F5A">
        <w:rPr>
          <w:rFonts w:ascii="Arial" w:hAnsi="Arial" w:cs="Arial"/>
          <w:sz w:val="20"/>
          <w:szCs w:val="20"/>
        </w:rPr>
        <w:t xml:space="preserve"> bylo provedeno na základě Usnesení vlády České republiky č. 707/1998 ze dne 26. října 1998 Českým statistickým úřadem po dohodě s </w:t>
      </w:r>
      <w:proofErr w:type="spellStart"/>
      <w:r w:rsidRPr="00C05F5A">
        <w:rPr>
          <w:rFonts w:ascii="Arial" w:hAnsi="Arial" w:cs="Arial"/>
          <w:sz w:val="20"/>
          <w:szCs w:val="20"/>
        </w:rPr>
        <w:t>Eurostatem</w:t>
      </w:r>
      <w:proofErr w:type="spellEnd"/>
      <w:r w:rsidRPr="00C05F5A">
        <w:rPr>
          <w:rFonts w:ascii="Arial" w:hAnsi="Arial" w:cs="Arial"/>
          <w:sz w:val="20"/>
          <w:szCs w:val="20"/>
        </w:rPr>
        <w:t>. Výchozím materiálem byl Ústavní zákon č. 347/1997 Sb. ze dne 3. prosince 1997, o vytvoření vyšších územních samosprávných celků a o změně Ústavního zákona ČNR č. 1/1993 Sb.</w:t>
      </w:r>
    </w:p>
    <w:p w:rsidR="00C05F5A" w:rsidRDefault="00C05F5A" w:rsidP="00D83A91">
      <w:pPr>
        <w:jc w:val="both"/>
        <w:rPr>
          <w:rFonts w:ascii="Arial" w:hAnsi="Arial" w:cs="Arial"/>
          <w:sz w:val="20"/>
          <w:szCs w:val="20"/>
        </w:rPr>
      </w:pPr>
      <w:r w:rsidRPr="00C05F5A">
        <w:rPr>
          <w:rFonts w:ascii="Arial" w:hAnsi="Arial" w:cs="Arial"/>
          <w:b/>
          <w:bCs/>
          <w:sz w:val="20"/>
          <w:szCs w:val="20"/>
        </w:rPr>
        <w:t>Klasifikace CZ-NUTS byla zavedena</w:t>
      </w:r>
      <w:r w:rsidRPr="00C05F5A">
        <w:rPr>
          <w:rFonts w:ascii="Arial" w:hAnsi="Arial" w:cs="Arial"/>
          <w:sz w:val="20"/>
          <w:szCs w:val="20"/>
        </w:rPr>
        <w:t xml:space="preserve"> Opatřením ČSÚ ze dne 27. dubna 1999 zveřejněném v částce 33/1999 Sb. a znovu vydána Sdělením ČSÚ č. 490/2003 Sb. ze dne </w:t>
      </w:r>
      <w:proofErr w:type="gramStart"/>
      <w:r w:rsidRPr="00C05F5A">
        <w:rPr>
          <w:rFonts w:ascii="Arial" w:hAnsi="Arial" w:cs="Arial"/>
          <w:sz w:val="20"/>
          <w:szCs w:val="20"/>
        </w:rPr>
        <w:t>18.prosince</w:t>
      </w:r>
      <w:proofErr w:type="gramEnd"/>
      <w:r w:rsidRPr="00C05F5A">
        <w:rPr>
          <w:rFonts w:ascii="Arial" w:hAnsi="Arial" w:cs="Arial"/>
          <w:sz w:val="20"/>
          <w:szCs w:val="20"/>
        </w:rPr>
        <w:t xml:space="preserve"> 2003 (částka 160/2003 Sb.). Aktualizace klasifikace CZ-NUTS byla provedena k 1. květnu 2004</w:t>
      </w:r>
      <w:hyperlink r:id="rId5" w:history="1">
        <w:r w:rsidRPr="00C05F5A">
          <w:rPr>
            <w:rStyle w:val="Hypertextovodkaz"/>
            <w:rFonts w:ascii="Arial" w:hAnsi="Arial" w:cs="Arial"/>
            <w:sz w:val="20"/>
            <w:szCs w:val="20"/>
          </w:rPr>
          <w:t xml:space="preserve"> Sdělením č. 228/2004 Sb.</w:t>
        </w:r>
      </w:hyperlink>
      <w:r w:rsidRPr="00C05F5A">
        <w:rPr>
          <w:rFonts w:ascii="Arial" w:hAnsi="Arial" w:cs="Arial"/>
          <w:color w:val="0000FF"/>
          <w:sz w:val="20"/>
          <w:szCs w:val="20"/>
        </w:rPr>
        <w:t xml:space="preserve"> </w:t>
      </w:r>
      <w:r w:rsidRPr="00C05F5A">
        <w:rPr>
          <w:rFonts w:ascii="Arial" w:hAnsi="Arial" w:cs="Arial"/>
          <w:sz w:val="20"/>
          <w:szCs w:val="20"/>
        </w:rPr>
        <w:t xml:space="preserve">ze dne 14. dubna 2004 a zveřejněna v částce </w:t>
      </w:r>
      <w:r>
        <w:rPr>
          <w:rFonts w:ascii="Arial" w:hAnsi="Arial" w:cs="Arial"/>
          <w:sz w:val="20"/>
          <w:szCs w:val="20"/>
        </w:rPr>
        <w:t>74/2004 Sb.</w:t>
      </w:r>
    </w:p>
    <w:p w:rsidR="00C05F5A" w:rsidRDefault="00C05F5A" w:rsidP="00D83A91">
      <w:pPr>
        <w:jc w:val="both"/>
        <w:rPr>
          <w:rFonts w:ascii="Arial" w:hAnsi="Arial" w:cs="Arial"/>
          <w:sz w:val="20"/>
          <w:szCs w:val="20"/>
        </w:rPr>
      </w:pPr>
      <w:r w:rsidRPr="00C05F5A">
        <w:rPr>
          <w:rFonts w:ascii="Arial" w:hAnsi="Arial" w:cs="Arial"/>
          <w:b/>
          <w:bCs/>
          <w:sz w:val="20"/>
          <w:szCs w:val="20"/>
        </w:rPr>
        <w:t>Evropská metodika</w:t>
      </w:r>
      <w:r w:rsidRPr="00C05F5A">
        <w:rPr>
          <w:rFonts w:ascii="Arial" w:hAnsi="Arial" w:cs="Arial"/>
          <w:sz w:val="20"/>
          <w:szCs w:val="20"/>
        </w:rPr>
        <w:t xml:space="preserve"> pro konstrukci klasifikace NUTS byla zpracována </w:t>
      </w:r>
      <w:proofErr w:type="spellStart"/>
      <w:r w:rsidRPr="00C05F5A">
        <w:rPr>
          <w:rFonts w:ascii="Arial" w:hAnsi="Arial" w:cs="Arial"/>
          <w:sz w:val="20"/>
          <w:szCs w:val="20"/>
        </w:rPr>
        <w:t>Eurostatem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. V roce 2003 byly zásady jednotné metodiky tvorby evropské klasifikace NUTS vydány formou závazného </w:t>
      </w:r>
      <w:hyperlink r:id="rId6" w:history="1">
        <w:r w:rsidRPr="00C05F5A">
          <w:rPr>
            <w:rStyle w:val="Hypertextovodkaz"/>
            <w:rFonts w:ascii="Arial" w:hAnsi="Arial" w:cs="Arial"/>
            <w:sz w:val="20"/>
            <w:szCs w:val="20"/>
          </w:rPr>
          <w:t>Nařízení Evropského parlamentu a Rady (ES) č. 1059/2003</w:t>
        </w:r>
      </w:hyperlink>
      <w:r w:rsidRPr="00C05F5A">
        <w:rPr>
          <w:rFonts w:ascii="Arial" w:hAnsi="Arial" w:cs="Arial"/>
          <w:color w:val="0000FF"/>
          <w:sz w:val="20"/>
          <w:szCs w:val="20"/>
        </w:rPr>
        <w:t xml:space="preserve"> </w:t>
      </w:r>
      <w:r w:rsidRPr="00C05F5A">
        <w:rPr>
          <w:rFonts w:ascii="Arial" w:hAnsi="Arial" w:cs="Arial"/>
          <w:sz w:val="20"/>
          <w:szCs w:val="20"/>
        </w:rPr>
        <w:t>ze dne 26. května 2003, o vytvoření společné klasifikace územních statistických jednotek (</w:t>
      </w:r>
      <w:proofErr w:type="gramStart"/>
      <w:r w:rsidRPr="00C05F5A">
        <w:rPr>
          <w:rFonts w:ascii="Arial" w:hAnsi="Arial" w:cs="Arial"/>
          <w:sz w:val="20"/>
          <w:szCs w:val="20"/>
        </w:rPr>
        <w:t>NUTS) (dále</w:t>
      </w:r>
      <w:proofErr w:type="gramEnd"/>
      <w:r w:rsidRPr="00C05F5A">
        <w:rPr>
          <w:rFonts w:ascii="Arial" w:hAnsi="Arial" w:cs="Arial"/>
          <w:sz w:val="20"/>
          <w:szCs w:val="20"/>
        </w:rPr>
        <w:t xml:space="preserve"> jen „Nařízení 1059/2003“). Evropská klasifikace NUTS tak má prvně právní základ a je závazná pro všechny členské státy EU. Nařízení 1059/2003 bylo zveřejněno v Úředním věstníku EU, č. L 154 dne 21. června 2003 a pro členské státy vstoupilo v </w:t>
      </w:r>
      <w:r>
        <w:rPr>
          <w:rFonts w:ascii="Arial" w:hAnsi="Arial" w:cs="Arial"/>
          <w:sz w:val="20"/>
          <w:szCs w:val="20"/>
        </w:rPr>
        <w:t>platnost dne 11. července 2003.</w:t>
      </w:r>
    </w:p>
    <w:p w:rsidR="00C05F5A" w:rsidRPr="00C05F5A" w:rsidRDefault="00C05F5A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C05F5A">
        <w:rPr>
          <w:rFonts w:ascii="Arial" w:hAnsi="Arial" w:cs="Arial"/>
          <w:sz w:val="20"/>
          <w:szCs w:val="20"/>
        </w:rPr>
        <w:t xml:space="preserve">Na základě Nařízení 1059/2003 byla </w:t>
      </w:r>
      <w:proofErr w:type="spellStart"/>
      <w:r w:rsidRPr="00C05F5A">
        <w:rPr>
          <w:rFonts w:ascii="Arial" w:hAnsi="Arial" w:cs="Arial"/>
          <w:sz w:val="20"/>
          <w:szCs w:val="20"/>
        </w:rPr>
        <w:t>Eurostatem</w:t>
      </w:r>
      <w:proofErr w:type="spellEnd"/>
      <w:r w:rsidRPr="00C05F5A">
        <w:rPr>
          <w:rFonts w:ascii="Arial" w:hAnsi="Arial" w:cs="Arial"/>
          <w:sz w:val="20"/>
          <w:szCs w:val="20"/>
        </w:rPr>
        <w:t xml:space="preserve"> vygenerována </w:t>
      </w:r>
      <w:r w:rsidRPr="00C05F5A">
        <w:rPr>
          <w:rFonts w:ascii="Arial" w:hAnsi="Arial" w:cs="Arial"/>
          <w:b/>
          <w:bCs/>
          <w:sz w:val="20"/>
          <w:szCs w:val="20"/>
        </w:rPr>
        <w:t>evropská klasifikace NUTS</w:t>
      </w:r>
      <w:r w:rsidRPr="00C05F5A">
        <w:rPr>
          <w:rFonts w:ascii="Arial" w:hAnsi="Arial" w:cs="Arial"/>
          <w:sz w:val="20"/>
          <w:szCs w:val="20"/>
        </w:rPr>
        <w:t>. Klasifikace CZ-NUTS, která popisuje území České republiky, je její součástí.</w:t>
      </w:r>
    </w:p>
    <w:sectPr w:rsidR="00C05F5A" w:rsidRPr="00C05F5A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czso.cz/icons/ecblank.gif" style="width:12pt;height:.7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0C3173"/>
    <w:rsid w:val="002923E0"/>
    <w:rsid w:val="002D51F5"/>
    <w:rsid w:val="00546FD0"/>
    <w:rsid w:val="005B62FB"/>
    <w:rsid w:val="006C77FF"/>
    <w:rsid w:val="0077250E"/>
    <w:rsid w:val="007E5285"/>
    <w:rsid w:val="007E77DF"/>
    <w:rsid w:val="00880F22"/>
    <w:rsid w:val="008F294D"/>
    <w:rsid w:val="008F7731"/>
    <w:rsid w:val="009670D3"/>
    <w:rsid w:val="00C05F5A"/>
    <w:rsid w:val="00CB7359"/>
    <w:rsid w:val="00CF2AB6"/>
    <w:rsid w:val="00D83A91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narizeni_evropskeho_parlamentu_a_rady_(es)_c_1059_2003_ze_dne_26_kvetna_2003_o_zavedeni_spolecne_klasifikace_uzemnich_statistickych_jednotek_(nuts)/$File/narizeni_ep_a_rady_es_1059_2003.pdf" TargetMode="External"/><Relationship Id="rId5" Type="http://schemas.openxmlformats.org/officeDocument/2006/relationships/hyperlink" Target="http://www.czso.cz/csu/klasifik.nsf/i/13ED35BB70985093C1256F820046622E/$File/CZ-NUTSsystem.pdf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2208</Characters>
  <Application>Microsoft Office Word</Application>
  <DocSecurity>0</DocSecurity>
  <Lines>18</Lines>
  <Paragraphs>5</Paragraphs>
  <ScaleCrop>false</ScaleCrop>
  <Company>ČSÚ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2015-01-14T12:18:00Z</dcterms:created>
  <dcterms:modified xsi:type="dcterms:W3CDTF">2015-01-14T12:19:00Z</dcterms:modified>
</cp:coreProperties>
</file>