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Pr="00C05F5A" w:rsidRDefault="00F24C2E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Metodické principy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 xml:space="preserve">Od roku 2003, kdy vstoupilo v platnost </w:t>
      </w:r>
      <w:hyperlink r:id="rId5" w:history="1">
        <w:r w:rsidRPr="00F24C2E">
          <w:rPr>
            <w:rStyle w:val="Hypertextovodkaz"/>
            <w:rFonts w:ascii="Arial" w:hAnsi="Arial" w:cs="Arial"/>
            <w:sz w:val="20"/>
            <w:szCs w:val="20"/>
          </w:rPr>
          <w:t>Nařízení Evropského parlamentu a Rady (ES) č. 1059/2003</w:t>
        </w:r>
      </w:hyperlink>
      <w:r w:rsidRPr="00F24C2E">
        <w:rPr>
          <w:rFonts w:ascii="Arial" w:hAnsi="Arial" w:cs="Arial"/>
          <w:color w:val="0000FF"/>
          <w:sz w:val="20"/>
          <w:szCs w:val="20"/>
        </w:rPr>
        <w:t xml:space="preserve"> </w:t>
      </w:r>
      <w:r w:rsidRPr="00F24C2E">
        <w:rPr>
          <w:rFonts w:ascii="Arial" w:hAnsi="Arial" w:cs="Arial"/>
          <w:sz w:val="20"/>
          <w:szCs w:val="20"/>
        </w:rPr>
        <w:t xml:space="preserve">ze dne 26. května 2003, o vytvoření společné klasifikace územních statistických jednotek (NUTS), je tato klasifikace v členských zemích koncipována podle právně </w:t>
      </w:r>
      <w:r>
        <w:rPr>
          <w:rFonts w:ascii="Arial" w:hAnsi="Arial" w:cs="Arial"/>
          <w:sz w:val="20"/>
          <w:szCs w:val="20"/>
        </w:rPr>
        <w:t>závazných, jednotných pravidel.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Hlavním důvodem pro zavedení společné evropské klasifikace je snaha o získávání zejména ekonomických informací o území na srovnatelné bázi. Nařízení 1059/2003 nastavuje závazné limity charakteru územních statistických jednotek, jejichž zabezpečením se vytvářejí základní předpoklady pro objektivní vyhodnocování a srovnávání různých evropských regionů. Na základě jednotně pojaté klasifikace je možno i jednotným způsobem pracovat se statistick</w:t>
      </w:r>
      <w:r>
        <w:rPr>
          <w:rFonts w:ascii="Arial" w:hAnsi="Arial" w:cs="Arial"/>
          <w:sz w:val="20"/>
          <w:szCs w:val="20"/>
        </w:rPr>
        <w:t>ými daty všech členských států.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Metodické principy použité v systému klasifikace územních statistických jednotek, jsou podrobně popsány v Nařízení 1059/2003. Za hlavní z nich lze považovat: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- stabilizace klasifikace NUTS v čase (důležité pro analytické a informač</w:t>
      </w:r>
      <w:r>
        <w:rPr>
          <w:rFonts w:ascii="Arial" w:hAnsi="Arial" w:cs="Arial"/>
          <w:sz w:val="20"/>
          <w:szCs w:val="20"/>
        </w:rPr>
        <w:t>ní činnosti a pro zkvalitnění a </w:t>
      </w:r>
      <w:r w:rsidRPr="00F24C2E">
        <w:rPr>
          <w:rFonts w:ascii="Arial" w:hAnsi="Arial" w:cs="Arial"/>
          <w:sz w:val="20"/>
          <w:szCs w:val="20"/>
        </w:rPr>
        <w:t>stabilizaci časových řad),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- stabilizace klasifikace NUTS v prostoru (zejména omezením frekvence změn hranic územních statistických jednotek),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- systém vymezování územních jednotek podle charakt</w:t>
      </w:r>
      <w:r>
        <w:rPr>
          <w:rFonts w:ascii="Arial" w:hAnsi="Arial" w:cs="Arial"/>
          <w:sz w:val="20"/>
          <w:szCs w:val="20"/>
        </w:rPr>
        <w:t>eru jednotky (administrativní a </w:t>
      </w:r>
      <w:r w:rsidRPr="00F24C2E">
        <w:rPr>
          <w:rFonts w:ascii="Arial" w:hAnsi="Arial" w:cs="Arial"/>
          <w:sz w:val="20"/>
          <w:szCs w:val="20"/>
        </w:rPr>
        <w:t>neadministrativní) a podle její velikosti vyjádřené počtem obvykle bydlících obyvatel,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- rozšíření klasifikace u každého členského státu o územní jednotku „Extra-</w:t>
      </w:r>
      <w:proofErr w:type="spellStart"/>
      <w:r w:rsidRPr="00F24C2E">
        <w:rPr>
          <w:rFonts w:ascii="Arial" w:hAnsi="Arial" w:cs="Arial"/>
          <w:sz w:val="20"/>
          <w:szCs w:val="20"/>
        </w:rPr>
        <w:t>Regio</w:t>
      </w:r>
      <w:proofErr w:type="spellEnd"/>
      <w:r w:rsidRPr="00F24C2E">
        <w:rPr>
          <w:rFonts w:ascii="Arial" w:hAnsi="Arial" w:cs="Arial"/>
          <w:sz w:val="20"/>
          <w:szCs w:val="20"/>
        </w:rPr>
        <w:t>“ na všech úrovních NUTS. Tyto jednotky zahrnují ekonomická území, která nelze přičlenit k žádnému konkrétnímu regionu státu (např. vzdušný prostor, mezinárodní vodstvo, diplomatická území atd. – viz Nařízení 1059/2003, odst. (12)),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- ukončení evropské klasifikace NUTS na úrovni NUTS 3 (v ČR „kraje“). Nižší územní členění bude v</w:t>
      </w:r>
      <w:r>
        <w:rPr>
          <w:rFonts w:ascii="Arial" w:hAnsi="Arial" w:cs="Arial"/>
          <w:sz w:val="20"/>
          <w:szCs w:val="20"/>
        </w:rPr>
        <w:t> </w:t>
      </w:r>
      <w:r w:rsidRPr="00F24C2E">
        <w:rPr>
          <w:rFonts w:ascii="Arial" w:hAnsi="Arial" w:cs="Arial"/>
          <w:sz w:val="20"/>
          <w:szCs w:val="20"/>
        </w:rPr>
        <w:t>rámci EU jednotně řešeno chystaným nařízením o „LAU</w:t>
      </w:r>
      <w:r>
        <w:rPr>
          <w:rFonts w:ascii="Arial" w:hAnsi="Arial" w:cs="Arial"/>
          <w:sz w:val="20"/>
          <w:szCs w:val="20"/>
        </w:rPr>
        <w:t xml:space="preserve"> – </w:t>
      </w:r>
      <w:proofErr w:type="spellStart"/>
      <w:r>
        <w:rPr>
          <w:rFonts w:ascii="Arial" w:hAnsi="Arial" w:cs="Arial"/>
          <w:sz w:val="20"/>
          <w:szCs w:val="20"/>
        </w:rPr>
        <w:t>Local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Administrative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Units</w:t>
      </w:r>
      <w:proofErr w:type="spellEnd"/>
      <w:r>
        <w:rPr>
          <w:rFonts w:ascii="Arial" w:hAnsi="Arial" w:cs="Arial"/>
          <w:sz w:val="20"/>
          <w:szCs w:val="20"/>
        </w:rPr>
        <w:t>“,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 xml:space="preserve">- sjednocení systému </w:t>
      </w:r>
      <w:proofErr w:type="spellStart"/>
      <w:r w:rsidRPr="00F24C2E">
        <w:rPr>
          <w:rFonts w:ascii="Arial" w:hAnsi="Arial" w:cs="Arial"/>
          <w:sz w:val="20"/>
          <w:szCs w:val="20"/>
        </w:rPr>
        <w:t>alfabetního</w:t>
      </w:r>
      <w:proofErr w:type="spellEnd"/>
      <w:r w:rsidRPr="00F24C2E">
        <w:rPr>
          <w:rFonts w:ascii="Arial" w:hAnsi="Arial" w:cs="Arial"/>
          <w:sz w:val="20"/>
          <w:szCs w:val="20"/>
        </w:rPr>
        <w:t xml:space="preserve"> a kódového značení územních jednotek na území EU.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Příprava zavedení evropské klasifikace NUTS má dvě základní roviny: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1) vymezení územního uspořádání členského státu pro statistické účely tak, aby vyhovovalo požadavkům formulovaným v Nařízení 1059/2003 (členské státy)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2) vygenerování závazné evropské klasifikace NUTS podle jednotných pravidel na základě sdělených územních struktur jednotli</w:t>
      </w:r>
      <w:r>
        <w:rPr>
          <w:rFonts w:ascii="Arial" w:hAnsi="Arial" w:cs="Arial"/>
          <w:sz w:val="20"/>
          <w:szCs w:val="20"/>
        </w:rPr>
        <w:t>vých členských států (</w:t>
      </w:r>
      <w:proofErr w:type="spellStart"/>
      <w:r>
        <w:rPr>
          <w:rFonts w:ascii="Arial" w:hAnsi="Arial" w:cs="Arial"/>
          <w:sz w:val="20"/>
          <w:szCs w:val="20"/>
        </w:rPr>
        <w:t>Eurostat</w:t>
      </w:r>
      <w:proofErr w:type="spellEnd"/>
      <w:r>
        <w:rPr>
          <w:rFonts w:ascii="Arial" w:hAnsi="Arial" w:cs="Arial"/>
          <w:sz w:val="20"/>
          <w:szCs w:val="20"/>
        </w:rPr>
        <w:t>)</w:t>
      </w:r>
    </w:p>
    <w:p w:rsidR="00F24C2E" w:rsidRDefault="00F24C2E" w:rsidP="00D83A91">
      <w:pPr>
        <w:jc w:val="both"/>
        <w:rPr>
          <w:rFonts w:ascii="Arial" w:hAnsi="Arial" w:cs="Arial"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>Na dodržování ustanovení Nařízení 1059/2003 bude pravidelně dohlížet Výbor pro s</w:t>
      </w:r>
      <w:r>
        <w:rPr>
          <w:rFonts w:ascii="Arial" w:hAnsi="Arial" w:cs="Arial"/>
          <w:sz w:val="20"/>
          <w:szCs w:val="20"/>
        </w:rPr>
        <w:t>tatistické programy při Komisi.</w:t>
      </w:r>
    </w:p>
    <w:p w:rsidR="00F24C2E" w:rsidRDefault="00F24C2E" w:rsidP="00D83A9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24C2E">
        <w:rPr>
          <w:rFonts w:ascii="Arial" w:hAnsi="Arial" w:cs="Arial"/>
          <w:b/>
          <w:bCs/>
          <w:sz w:val="20"/>
          <w:szCs w:val="20"/>
        </w:rPr>
        <w:t>Poznámka:</w:t>
      </w:r>
    </w:p>
    <w:p w:rsidR="00C05F5A" w:rsidRPr="00F24C2E" w:rsidRDefault="00F24C2E" w:rsidP="00D83A91">
      <w:pPr>
        <w:jc w:val="both"/>
        <w:rPr>
          <w:rFonts w:ascii="Arial" w:hAnsi="Arial" w:cs="Arial"/>
          <w:b/>
          <w:sz w:val="20"/>
          <w:szCs w:val="20"/>
        </w:rPr>
      </w:pPr>
      <w:r w:rsidRPr="00F24C2E">
        <w:rPr>
          <w:rFonts w:ascii="Arial" w:hAnsi="Arial" w:cs="Arial"/>
          <w:sz w:val="20"/>
          <w:szCs w:val="20"/>
        </w:rPr>
        <w:t xml:space="preserve">Pro možnost přesné interpretace nových pravidel NUTS je přiloženo plné znění </w:t>
      </w:r>
      <w:hyperlink r:id="rId6" w:history="1">
        <w:r w:rsidRPr="00F24C2E">
          <w:rPr>
            <w:rStyle w:val="Hypertextovodkaz"/>
            <w:rFonts w:ascii="Arial" w:hAnsi="Arial" w:cs="Arial"/>
            <w:sz w:val="20"/>
            <w:szCs w:val="20"/>
          </w:rPr>
          <w:t>Nařízení Evropského parlamentu a Rady (ES) č. 1059/2003</w:t>
        </w:r>
      </w:hyperlink>
      <w:r w:rsidRPr="00F24C2E">
        <w:rPr>
          <w:rFonts w:ascii="Arial" w:hAnsi="Arial" w:cs="Arial"/>
          <w:sz w:val="20"/>
          <w:szCs w:val="20"/>
        </w:rPr>
        <w:t xml:space="preserve">, s výjimkou příloh, které obsahují konkrétní novou klasifikaci NUTS pro členské státy EU-15. Plné znění vč. příloh je k dispozici na stránkách Úředního věstníku EU </w:t>
      </w:r>
      <w:hyperlink r:id="rId7" w:history="1">
        <w:r w:rsidRPr="00F24C2E">
          <w:rPr>
            <w:rStyle w:val="Hypertextovodkaz"/>
            <w:rFonts w:ascii="Arial" w:hAnsi="Arial" w:cs="Arial"/>
            <w:sz w:val="20"/>
            <w:szCs w:val="20"/>
          </w:rPr>
          <w:t>http://europa.eu.int/eur-lex/pri/en/oj/dat/2003/l_154/l_15420030621en00010041.pdf</w:t>
        </w:r>
      </w:hyperlink>
      <w:r w:rsidRPr="00F24C2E">
        <w:rPr>
          <w:rFonts w:ascii="Arial" w:hAnsi="Arial" w:cs="Arial"/>
          <w:sz w:val="20"/>
          <w:szCs w:val="20"/>
        </w:rPr>
        <w:t>.</w:t>
      </w:r>
    </w:p>
    <w:sectPr w:rsidR="00C05F5A" w:rsidRPr="00F24C2E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2C69"/>
    <w:rsid w:val="000600A0"/>
    <w:rsid w:val="000B28D5"/>
    <w:rsid w:val="000C3173"/>
    <w:rsid w:val="002923E0"/>
    <w:rsid w:val="002D51F5"/>
    <w:rsid w:val="00546FD0"/>
    <w:rsid w:val="005B62FB"/>
    <w:rsid w:val="006C77FF"/>
    <w:rsid w:val="0077250E"/>
    <w:rsid w:val="007E5285"/>
    <w:rsid w:val="007E77DF"/>
    <w:rsid w:val="00880F22"/>
    <w:rsid w:val="008F294D"/>
    <w:rsid w:val="008F7731"/>
    <w:rsid w:val="009670D3"/>
    <w:rsid w:val="00C05F5A"/>
    <w:rsid w:val="00CB7359"/>
    <w:rsid w:val="00CF2AB6"/>
    <w:rsid w:val="00D83A91"/>
    <w:rsid w:val="00EC5111"/>
    <w:rsid w:val="00F24C2E"/>
    <w:rsid w:val="00FA6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19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5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0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73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85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44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32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uropa.eu.int/eur-lex/pri/en/oj/dat/2003/l_154/l_15420030621en0001004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so.cz/csu/klasifik.nsf/i/narizeni_evropskeho_parlamentu_a_rady_(es)_c_1059_2003/$File/narizeni_ep_a_rady_1059_2003.pdf" TargetMode="External"/><Relationship Id="rId5" Type="http://schemas.openxmlformats.org/officeDocument/2006/relationships/hyperlink" Target="http://www.czso.cz/csu/klasifik.nsf/i/narizeni_evropskeho_parlamentu_a_rady_(es)_c_1059_2003/$File/narizeni_ep_a_rady_1059_2003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464</Words>
  <Characters>2742</Characters>
  <Application>Microsoft Office Word</Application>
  <DocSecurity>0</DocSecurity>
  <Lines>22</Lines>
  <Paragraphs>6</Paragraphs>
  <ScaleCrop>false</ScaleCrop>
  <Company>ČSÚ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2015-01-14T12:20:00Z</dcterms:created>
  <dcterms:modified xsi:type="dcterms:W3CDTF">2015-01-14T12:22:00Z</dcterms:modified>
</cp:coreProperties>
</file>